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53</w:t>
      </w:r>
      <w:r>
        <w:fldChar w:fldCharType="end"/>
      </w:r>
      <w:r>
        <w:fldChar w:fldCharType="end"/>
      </w:r>
    </w:p>
    <w:p>
      <w:r>
        <w:fldChar w:fldCharType="end"/>
      </w:r>
    </w:p>
    <w:p>
      <w:pPr>
        <w:sectPr>
          <w:pgSz w:w="16840" w:h="11900" w:orient="landscape"/>
          <w:pgMar w:top="1587" w:right="1134" w:bottom="1361" w:left="1134" w:header="720" w:footer="720" w:gutter="0"/>
          <w:pgNumType w:start="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814霸州市城市管理综合行政执法局</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2727.07</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125.37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36.98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2494.17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70.55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2727.07</w:t>
            </w:r>
          </w:p>
        </w:tc>
        <w:tc>
          <w:tcPr>
            <w:tcW w:w="4535" w:type="dxa"/>
            <w:vAlign w:val="center"/>
          </w:tcPr>
          <w:p>
            <w:pPr>
              <w:pStyle w:val="16"/>
            </w:pPr>
            <w:r>
              <w:t>本年支出合计</w:t>
            </w:r>
          </w:p>
        </w:tc>
        <w:tc>
          <w:tcPr>
            <w:tcW w:w="2126" w:type="dxa"/>
            <w:vAlign w:val="center"/>
          </w:tcPr>
          <w:p>
            <w:pPr>
              <w:pStyle w:val="17"/>
            </w:pPr>
            <w:r>
              <w:t>2727.07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2727.07</w:t>
            </w:r>
          </w:p>
        </w:tc>
        <w:tc>
          <w:tcPr>
            <w:tcW w:w="4535" w:type="dxa"/>
            <w:vAlign w:val="center"/>
          </w:tcPr>
          <w:p>
            <w:pPr>
              <w:pStyle w:val="16"/>
            </w:pPr>
            <w:r>
              <w:t>支出总计</w:t>
            </w:r>
          </w:p>
        </w:tc>
        <w:tc>
          <w:tcPr>
            <w:tcW w:w="2126" w:type="dxa"/>
            <w:vAlign w:val="center"/>
          </w:tcPr>
          <w:p>
            <w:pPr>
              <w:pStyle w:val="17"/>
            </w:pPr>
            <w:r>
              <w:t>2727.07</w:t>
            </w:r>
          </w:p>
        </w:tc>
      </w:tr>
    </w:tbl>
    <w:p>
      <w:pPr>
        <w:sectPr>
          <w:footerReference r:id="rId3" w:type="default"/>
          <w:footerReference r:id="rId4" w:type="even"/>
          <w:pgSz w:w="16840" w:h="11900" w:orient="landscape"/>
          <w:pgMar w:top="1361" w:right="1020" w:bottom="1134" w:left="1020" w:header="720" w:footer="720" w:gutter="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814霸州市城市管理综合行政执法局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2727.07</w:t>
            </w:r>
          </w:p>
        </w:tc>
        <w:tc>
          <w:tcPr>
            <w:tcW w:w="1134" w:type="dxa"/>
            <w:vAlign w:val="center"/>
          </w:tcPr>
          <w:p>
            <w:pPr>
              <w:pStyle w:val="17"/>
            </w:pPr>
            <w:r>
              <w:t>2727.07</w:t>
            </w:r>
          </w:p>
        </w:tc>
        <w:tc>
          <w:tcPr>
            <w:tcW w:w="1134" w:type="dxa"/>
            <w:vAlign w:val="center"/>
          </w:tcPr>
          <w:p>
            <w:pPr>
              <w:pStyle w:val="17"/>
            </w:pPr>
            <w:r>
              <w:t>2727.07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125.37</w:t>
            </w:r>
          </w:p>
        </w:tc>
        <w:tc>
          <w:tcPr>
            <w:tcW w:w="1134" w:type="dxa"/>
            <w:vAlign w:val="center"/>
          </w:tcPr>
          <w:p>
            <w:pPr>
              <w:pStyle w:val="13"/>
            </w:pPr>
            <w:r>
              <w:t>125.37</w:t>
            </w:r>
          </w:p>
        </w:tc>
        <w:tc>
          <w:tcPr>
            <w:tcW w:w="1134" w:type="dxa"/>
            <w:vAlign w:val="center"/>
          </w:tcPr>
          <w:p>
            <w:pPr>
              <w:pStyle w:val="13"/>
            </w:pPr>
            <w:r>
              <w:t>125.37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125.37</w:t>
            </w:r>
          </w:p>
        </w:tc>
        <w:tc>
          <w:tcPr>
            <w:tcW w:w="1134" w:type="dxa"/>
            <w:vAlign w:val="center"/>
          </w:tcPr>
          <w:p>
            <w:pPr>
              <w:pStyle w:val="13"/>
            </w:pPr>
            <w:r>
              <w:t>125.37</w:t>
            </w:r>
          </w:p>
        </w:tc>
        <w:tc>
          <w:tcPr>
            <w:tcW w:w="1134" w:type="dxa"/>
            <w:vAlign w:val="center"/>
          </w:tcPr>
          <w:p>
            <w:pPr>
              <w:pStyle w:val="13"/>
            </w:pPr>
            <w:r>
              <w:t>125.37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28.61</w:t>
            </w:r>
          </w:p>
        </w:tc>
        <w:tc>
          <w:tcPr>
            <w:tcW w:w="1134" w:type="dxa"/>
            <w:vAlign w:val="center"/>
          </w:tcPr>
          <w:p>
            <w:pPr>
              <w:pStyle w:val="13"/>
            </w:pPr>
            <w:r>
              <w:t>28.61</w:t>
            </w:r>
          </w:p>
        </w:tc>
        <w:tc>
          <w:tcPr>
            <w:tcW w:w="1134" w:type="dxa"/>
            <w:vAlign w:val="center"/>
          </w:tcPr>
          <w:p>
            <w:pPr>
              <w:pStyle w:val="13"/>
            </w:pPr>
            <w:r>
              <w:t>28.61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94.06</w:t>
            </w:r>
          </w:p>
        </w:tc>
        <w:tc>
          <w:tcPr>
            <w:tcW w:w="1134" w:type="dxa"/>
            <w:vAlign w:val="center"/>
          </w:tcPr>
          <w:p>
            <w:pPr>
              <w:pStyle w:val="13"/>
            </w:pPr>
            <w:r>
              <w:t>94.06</w:t>
            </w:r>
          </w:p>
        </w:tc>
        <w:tc>
          <w:tcPr>
            <w:tcW w:w="1134" w:type="dxa"/>
            <w:vAlign w:val="center"/>
          </w:tcPr>
          <w:p>
            <w:pPr>
              <w:pStyle w:val="13"/>
            </w:pPr>
            <w:r>
              <w:t>94.06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2.70</w:t>
            </w:r>
          </w:p>
        </w:tc>
        <w:tc>
          <w:tcPr>
            <w:tcW w:w="1134" w:type="dxa"/>
            <w:vAlign w:val="center"/>
          </w:tcPr>
          <w:p>
            <w:pPr>
              <w:pStyle w:val="13"/>
            </w:pPr>
            <w:r>
              <w:t>2.70</w:t>
            </w:r>
          </w:p>
        </w:tc>
        <w:tc>
          <w:tcPr>
            <w:tcW w:w="1134" w:type="dxa"/>
            <w:vAlign w:val="center"/>
          </w:tcPr>
          <w:p>
            <w:pPr>
              <w:pStyle w:val="13"/>
            </w:pPr>
            <w:r>
              <w:t>2.70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36.98</w:t>
            </w:r>
          </w:p>
        </w:tc>
        <w:tc>
          <w:tcPr>
            <w:tcW w:w="1134" w:type="dxa"/>
            <w:vAlign w:val="center"/>
          </w:tcPr>
          <w:p>
            <w:pPr>
              <w:pStyle w:val="13"/>
            </w:pPr>
            <w:r>
              <w:t>36.98</w:t>
            </w:r>
          </w:p>
        </w:tc>
        <w:tc>
          <w:tcPr>
            <w:tcW w:w="1134" w:type="dxa"/>
            <w:vAlign w:val="center"/>
          </w:tcPr>
          <w:p>
            <w:pPr>
              <w:pStyle w:val="13"/>
            </w:pPr>
            <w:r>
              <w:t>36.98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36.98</w:t>
            </w:r>
          </w:p>
        </w:tc>
        <w:tc>
          <w:tcPr>
            <w:tcW w:w="1134" w:type="dxa"/>
            <w:vAlign w:val="center"/>
          </w:tcPr>
          <w:p>
            <w:pPr>
              <w:pStyle w:val="13"/>
            </w:pPr>
            <w:r>
              <w:t>36.98</w:t>
            </w:r>
          </w:p>
        </w:tc>
        <w:tc>
          <w:tcPr>
            <w:tcW w:w="1134" w:type="dxa"/>
            <w:vAlign w:val="center"/>
          </w:tcPr>
          <w:p>
            <w:pPr>
              <w:pStyle w:val="13"/>
            </w:pPr>
            <w:r>
              <w:t>36.98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36.98</w:t>
            </w:r>
          </w:p>
        </w:tc>
        <w:tc>
          <w:tcPr>
            <w:tcW w:w="1134" w:type="dxa"/>
            <w:vAlign w:val="center"/>
          </w:tcPr>
          <w:p>
            <w:pPr>
              <w:pStyle w:val="13"/>
            </w:pPr>
            <w:r>
              <w:t>36.98</w:t>
            </w:r>
          </w:p>
        </w:tc>
        <w:tc>
          <w:tcPr>
            <w:tcW w:w="1134" w:type="dxa"/>
            <w:vAlign w:val="center"/>
          </w:tcPr>
          <w:p>
            <w:pPr>
              <w:pStyle w:val="13"/>
            </w:pPr>
            <w:r>
              <w:t>36.98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2494.17</w:t>
            </w:r>
          </w:p>
        </w:tc>
        <w:tc>
          <w:tcPr>
            <w:tcW w:w="1134" w:type="dxa"/>
            <w:vAlign w:val="center"/>
          </w:tcPr>
          <w:p>
            <w:pPr>
              <w:pStyle w:val="13"/>
            </w:pPr>
            <w:r>
              <w:t>2494.17</w:t>
            </w:r>
          </w:p>
        </w:tc>
        <w:tc>
          <w:tcPr>
            <w:tcW w:w="1134" w:type="dxa"/>
            <w:vAlign w:val="center"/>
          </w:tcPr>
          <w:p>
            <w:pPr>
              <w:pStyle w:val="13"/>
            </w:pPr>
            <w:r>
              <w:t>2494.17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21201</w:t>
            </w:r>
          </w:p>
        </w:tc>
        <w:tc>
          <w:tcPr>
            <w:tcW w:w="1559" w:type="dxa"/>
            <w:vAlign w:val="center"/>
          </w:tcPr>
          <w:p>
            <w:pPr>
              <w:pStyle w:val="14"/>
            </w:pPr>
            <w:r>
              <w:t>城乡社区管理事务</w:t>
            </w:r>
          </w:p>
        </w:tc>
        <w:tc>
          <w:tcPr>
            <w:tcW w:w="1134" w:type="dxa"/>
            <w:vAlign w:val="center"/>
          </w:tcPr>
          <w:p>
            <w:pPr>
              <w:pStyle w:val="13"/>
            </w:pPr>
            <w:r>
              <w:t>2494.17</w:t>
            </w:r>
          </w:p>
        </w:tc>
        <w:tc>
          <w:tcPr>
            <w:tcW w:w="1134" w:type="dxa"/>
            <w:vAlign w:val="center"/>
          </w:tcPr>
          <w:p>
            <w:pPr>
              <w:pStyle w:val="13"/>
            </w:pPr>
            <w:r>
              <w:t>2494.17</w:t>
            </w:r>
          </w:p>
        </w:tc>
        <w:tc>
          <w:tcPr>
            <w:tcW w:w="1134" w:type="dxa"/>
            <w:vAlign w:val="center"/>
          </w:tcPr>
          <w:p>
            <w:pPr>
              <w:pStyle w:val="13"/>
            </w:pPr>
            <w:r>
              <w:t>2494.17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2120104</w:t>
            </w:r>
          </w:p>
        </w:tc>
        <w:tc>
          <w:tcPr>
            <w:tcW w:w="1559" w:type="dxa"/>
            <w:vAlign w:val="center"/>
          </w:tcPr>
          <w:p>
            <w:pPr>
              <w:pStyle w:val="14"/>
            </w:pPr>
            <w:r>
              <w:t>城管执法</w:t>
            </w:r>
          </w:p>
        </w:tc>
        <w:tc>
          <w:tcPr>
            <w:tcW w:w="1134" w:type="dxa"/>
            <w:vAlign w:val="center"/>
          </w:tcPr>
          <w:p>
            <w:pPr>
              <w:pStyle w:val="13"/>
            </w:pPr>
            <w:r>
              <w:t>2494.17</w:t>
            </w:r>
          </w:p>
        </w:tc>
        <w:tc>
          <w:tcPr>
            <w:tcW w:w="1134" w:type="dxa"/>
            <w:vAlign w:val="center"/>
          </w:tcPr>
          <w:p>
            <w:pPr>
              <w:pStyle w:val="13"/>
            </w:pPr>
            <w:r>
              <w:t>2494.17</w:t>
            </w:r>
          </w:p>
        </w:tc>
        <w:tc>
          <w:tcPr>
            <w:tcW w:w="1134" w:type="dxa"/>
            <w:vAlign w:val="center"/>
          </w:tcPr>
          <w:p>
            <w:pPr>
              <w:pStyle w:val="13"/>
            </w:pPr>
            <w:r>
              <w:t>2494.17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70.55</w:t>
            </w:r>
          </w:p>
        </w:tc>
        <w:tc>
          <w:tcPr>
            <w:tcW w:w="1134" w:type="dxa"/>
            <w:vAlign w:val="center"/>
          </w:tcPr>
          <w:p>
            <w:pPr>
              <w:pStyle w:val="13"/>
            </w:pPr>
            <w:r>
              <w:t>70.55</w:t>
            </w:r>
          </w:p>
        </w:tc>
        <w:tc>
          <w:tcPr>
            <w:tcW w:w="1134" w:type="dxa"/>
            <w:vAlign w:val="center"/>
          </w:tcPr>
          <w:p>
            <w:pPr>
              <w:pStyle w:val="13"/>
            </w:pPr>
            <w:r>
              <w:t>70.55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70.55</w:t>
            </w:r>
          </w:p>
        </w:tc>
        <w:tc>
          <w:tcPr>
            <w:tcW w:w="1134" w:type="dxa"/>
            <w:vAlign w:val="center"/>
          </w:tcPr>
          <w:p>
            <w:pPr>
              <w:pStyle w:val="13"/>
            </w:pPr>
            <w:r>
              <w:t>70.55</w:t>
            </w:r>
          </w:p>
        </w:tc>
        <w:tc>
          <w:tcPr>
            <w:tcW w:w="1134" w:type="dxa"/>
            <w:vAlign w:val="center"/>
          </w:tcPr>
          <w:p>
            <w:pPr>
              <w:pStyle w:val="13"/>
            </w:pPr>
            <w:r>
              <w:t>70.55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70.55</w:t>
            </w:r>
          </w:p>
        </w:tc>
        <w:tc>
          <w:tcPr>
            <w:tcW w:w="1134" w:type="dxa"/>
            <w:vAlign w:val="center"/>
          </w:tcPr>
          <w:p>
            <w:pPr>
              <w:pStyle w:val="13"/>
            </w:pPr>
            <w:r>
              <w:t>70.55</w:t>
            </w:r>
          </w:p>
        </w:tc>
        <w:tc>
          <w:tcPr>
            <w:tcW w:w="1134" w:type="dxa"/>
            <w:vAlign w:val="center"/>
          </w:tcPr>
          <w:p>
            <w:pPr>
              <w:pStyle w:val="13"/>
            </w:pPr>
            <w:r>
              <w:t>70.55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814霸州市城市管理综合行政执法局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2727.07</w:t>
            </w:r>
          </w:p>
        </w:tc>
        <w:tc>
          <w:tcPr>
            <w:tcW w:w="1361" w:type="dxa"/>
            <w:vAlign w:val="center"/>
          </w:tcPr>
          <w:p>
            <w:pPr>
              <w:pStyle w:val="17"/>
            </w:pPr>
            <w:r>
              <w:t>2495.46</w:t>
            </w:r>
          </w:p>
        </w:tc>
        <w:tc>
          <w:tcPr>
            <w:tcW w:w="1361" w:type="dxa"/>
            <w:vAlign w:val="center"/>
          </w:tcPr>
          <w:p>
            <w:pPr>
              <w:pStyle w:val="17"/>
            </w:pPr>
            <w:r>
              <w:t>231.61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125.37</w:t>
            </w:r>
          </w:p>
        </w:tc>
        <w:tc>
          <w:tcPr>
            <w:tcW w:w="1361" w:type="dxa"/>
            <w:vAlign w:val="center"/>
          </w:tcPr>
          <w:p>
            <w:pPr>
              <w:pStyle w:val="13"/>
            </w:pPr>
            <w:r>
              <w:t>125.37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125.37</w:t>
            </w:r>
          </w:p>
        </w:tc>
        <w:tc>
          <w:tcPr>
            <w:tcW w:w="1361" w:type="dxa"/>
            <w:vAlign w:val="center"/>
          </w:tcPr>
          <w:p>
            <w:pPr>
              <w:pStyle w:val="13"/>
            </w:pPr>
            <w:r>
              <w:t>125.37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28.61</w:t>
            </w:r>
          </w:p>
        </w:tc>
        <w:tc>
          <w:tcPr>
            <w:tcW w:w="1361" w:type="dxa"/>
            <w:vAlign w:val="center"/>
          </w:tcPr>
          <w:p>
            <w:pPr>
              <w:pStyle w:val="13"/>
            </w:pPr>
            <w:r>
              <w:t>28.61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94.06</w:t>
            </w:r>
          </w:p>
        </w:tc>
        <w:tc>
          <w:tcPr>
            <w:tcW w:w="1361" w:type="dxa"/>
            <w:vAlign w:val="center"/>
          </w:tcPr>
          <w:p>
            <w:pPr>
              <w:pStyle w:val="13"/>
            </w:pPr>
            <w:r>
              <w:t>94.06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2.70</w:t>
            </w:r>
          </w:p>
        </w:tc>
        <w:tc>
          <w:tcPr>
            <w:tcW w:w="1361" w:type="dxa"/>
            <w:vAlign w:val="center"/>
          </w:tcPr>
          <w:p>
            <w:pPr>
              <w:pStyle w:val="13"/>
            </w:pPr>
            <w:r>
              <w:t>2.70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36.98</w:t>
            </w:r>
          </w:p>
        </w:tc>
        <w:tc>
          <w:tcPr>
            <w:tcW w:w="1361" w:type="dxa"/>
            <w:vAlign w:val="center"/>
          </w:tcPr>
          <w:p>
            <w:pPr>
              <w:pStyle w:val="13"/>
            </w:pPr>
            <w:r>
              <w:t>36.98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36.98</w:t>
            </w:r>
          </w:p>
        </w:tc>
        <w:tc>
          <w:tcPr>
            <w:tcW w:w="1361" w:type="dxa"/>
            <w:vAlign w:val="center"/>
          </w:tcPr>
          <w:p>
            <w:pPr>
              <w:pStyle w:val="13"/>
            </w:pPr>
            <w:r>
              <w:t>36.98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36.98</w:t>
            </w:r>
          </w:p>
        </w:tc>
        <w:tc>
          <w:tcPr>
            <w:tcW w:w="1361" w:type="dxa"/>
            <w:vAlign w:val="center"/>
          </w:tcPr>
          <w:p>
            <w:pPr>
              <w:pStyle w:val="13"/>
            </w:pPr>
            <w:r>
              <w:t>36.98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2494.17</w:t>
            </w:r>
          </w:p>
        </w:tc>
        <w:tc>
          <w:tcPr>
            <w:tcW w:w="1361" w:type="dxa"/>
            <w:vAlign w:val="center"/>
          </w:tcPr>
          <w:p>
            <w:pPr>
              <w:pStyle w:val="13"/>
            </w:pPr>
            <w:r>
              <w:t>2262.56</w:t>
            </w:r>
          </w:p>
        </w:tc>
        <w:tc>
          <w:tcPr>
            <w:tcW w:w="1361" w:type="dxa"/>
            <w:vAlign w:val="center"/>
          </w:tcPr>
          <w:p>
            <w:pPr>
              <w:pStyle w:val="13"/>
            </w:pPr>
            <w:r>
              <w:t>231.61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21201</w:t>
            </w:r>
          </w:p>
        </w:tc>
        <w:tc>
          <w:tcPr>
            <w:tcW w:w="4535" w:type="dxa"/>
            <w:vAlign w:val="center"/>
          </w:tcPr>
          <w:p>
            <w:pPr>
              <w:pStyle w:val="14"/>
            </w:pPr>
            <w:r>
              <w:t>城乡社区管理事务</w:t>
            </w:r>
          </w:p>
        </w:tc>
        <w:tc>
          <w:tcPr>
            <w:tcW w:w="1361" w:type="dxa"/>
            <w:vAlign w:val="center"/>
          </w:tcPr>
          <w:p>
            <w:pPr>
              <w:pStyle w:val="13"/>
            </w:pPr>
            <w:r>
              <w:t>2494.17</w:t>
            </w:r>
          </w:p>
        </w:tc>
        <w:tc>
          <w:tcPr>
            <w:tcW w:w="1361" w:type="dxa"/>
            <w:vAlign w:val="center"/>
          </w:tcPr>
          <w:p>
            <w:pPr>
              <w:pStyle w:val="13"/>
            </w:pPr>
            <w:r>
              <w:t>2262.56</w:t>
            </w:r>
          </w:p>
        </w:tc>
        <w:tc>
          <w:tcPr>
            <w:tcW w:w="1361" w:type="dxa"/>
            <w:vAlign w:val="center"/>
          </w:tcPr>
          <w:p>
            <w:pPr>
              <w:pStyle w:val="13"/>
            </w:pPr>
            <w:r>
              <w:t>231.61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2120104</w:t>
            </w:r>
          </w:p>
        </w:tc>
        <w:tc>
          <w:tcPr>
            <w:tcW w:w="4535" w:type="dxa"/>
            <w:vAlign w:val="center"/>
          </w:tcPr>
          <w:p>
            <w:pPr>
              <w:pStyle w:val="14"/>
            </w:pPr>
            <w:r>
              <w:t>城管执法</w:t>
            </w:r>
          </w:p>
        </w:tc>
        <w:tc>
          <w:tcPr>
            <w:tcW w:w="1361" w:type="dxa"/>
            <w:vAlign w:val="center"/>
          </w:tcPr>
          <w:p>
            <w:pPr>
              <w:pStyle w:val="13"/>
            </w:pPr>
            <w:r>
              <w:t>2494.17</w:t>
            </w:r>
          </w:p>
        </w:tc>
        <w:tc>
          <w:tcPr>
            <w:tcW w:w="1361" w:type="dxa"/>
            <w:vAlign w:val="center"/>
          </w:tcPr>
          <w:p>
            <w:pPr>
              <w:pStyle w:val="13"/>
            </w:pPr>
            <w:r>
              <w:t>2262.56</w:t>
            </w:r>
          </w:p>
        </w:tc>
        <w:tc>
          <w:tcPr>
            <w:tcW w:w="1361" w:type="dxa"/>
            <w:vAlign w:val="center"/>
          </w:tcPr>
          <w:p>
            <w:pPr>
              <w:pStyle w:val="13"/>
            </w:pPr>
            <w:r>
              <w:t>231.61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70.55</w:t>
            </w:r>
          </w:p>
        </w:tc>
        <w:tc>
          <w:tcPr>
            <w:tcW w:w="1361" w:type="dxa"/>
            <w:vAlign w:val="center"/>
          </w:tcPr>
          <w:p>
            <w:pPr>
              <w:pStyle w:val="13"/>
            </w:pPr>
            <w:r>
              <w:t>70.55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70.55</w:t>
            </w:r>
          </w:p>
        </w:tc>
        <w:tc>
          <w:tcPr>
            <w:tcW w:w="1361" w:type="dxa"/>
            <w:vAlign w:val="center"/>
          </w:tcPr>
          <w:p>
            <w:pPr>
              <w:pStyle w:val="13"/>
            </w:pPr>
            <w:r>
              <w:t>70.55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70.55</w:t>
            </w:r>
          </w:p>
        </w:tc>
        <w:tc>
          <w:tcPr>
            <w:tcW w:w="1361" w:type="dxa"/>
            <w:vAlign w:val="center"/>
          </w:tcPr>
          <w:p>
            <w:pPr>
              <w:pStyle w:val="13"/>
            </w:pPr>
            <w:r>
              <w:t>70.55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814霸州市城市管理综合行政执法局</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2727.07</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125.37</w:t>
            </w:r>
          </w:p>
        </w:tc>
        <w:tc>
          <w:tcPr>
            <w:tcW w:w="1474" w:type="dxa"/>
            <w:vAlign w:val="center"/>
          </w:tcPr>
          <w:p>
            <w:pPr>
              <w:pStyle w:val="13"/>
            </w:pPr>
            <w:r>
              <w:t>125.37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36.98</w:t>
            </w:r>
          </w:p>
        </w:tc>
        <w:tc>
          <w:tcPr>
            <w:tcW w:w="1474" w:type="dxa"/>
            <w:vAlign w:val="center"/>
          </w:tcPr>
          <w:p>
            <w:pPr>
              <w:pStyle w:val="13"/>
            </w:pPr>
            <w:r>
              <w:t>36.98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2494.17</w:t>
            </w:r>
          </w:p>
        </w:tc>
        <w:tc>
          <w:tcPr>
            <w:tcW w:w="1474" w:type="dxa"/>
            <w:vAlign w:val="center"/>
          </w:tcPr>
          <w:p>
            <w:pPr>
              <w:pStyle w:val="13"/>
            </w:pPr>
            <w:r>
              <w:t>2494.17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70.55</w:t>
            </w:r>
          </w:p>
        </w:tc>
        <w:tc>
          <w:tcPr>
            <w:tcW w:w="1474" w:type="dxa"/>
            <w:vAlign w:val="center"/>
          </w:tcPr>
          <w:p>
            <w:pPr>
              <w:pStyle w:val="13"/>
            </w:pPr>
            <w:r>
              <w:t>70.55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2727.07</w:t>
            </w:r>
          </w:p>
        </w:tc>
        <w:tc>
          <w:tcPr>
            <w:tcW w:w="3402" w:type="dxa"/>
            <w:vAlign w:val="center"/>
          </w:tcPr>
          <w:p>
            <w:pPr>
              <w:pStyle w:val="16"/>
            </w:pPr>
            <w:r>
              <w:t>本年支出合计</w:t>
            </w:r>
          </w:p>
        </w:tc>
        <w:tc>
          <w:tcPr>
            <w:tcW w:w="1474" w:type="dxa"/>
            <w:vAlign w:val="center"/>
          </w:tcPr>
          <w:p>
            <w:pPr>
              <w:pStyle w:val="17"/>
            </w:pPr>
            <w:r>
              <w:t>2727.07</w:t>
            </w:r>
          </w:p>
        </w:tc>
        <w:tc>
          <w:tcPr>
            <w:tcW w:w="1474" w:type="dxa"/>
            <w:vAlign w:val="center"/>
          </w:tcPr>
          <w:p>
            <w:pPr>
              <w:pStyle w:val="17"/>
            </w:pPr>
            <w:r>
              <w:t>2727.07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2727.07</w:t>
            </w:r>
          </w:p>
        </w:tc>
        <w:tc>
          <w:tcPr>
            <w:tcW w:w="3402" w:type="dxa"/>
            <w:vAlign w:val="center"/>
          </w:tcPr>
          <w:p>
            <w:pPr>
              <w:pStyle w:val="16"/>
            </w:pPr>
            <w:r>
              <w:t>支出总计</w:t>
            </w:r>
          </w:p>
        </w:tc>
        <w:tc>
          <w:tcPr>
            <w:tcW w:w="1474" w:type="dxa"/>
            <w:vAlign w:val="center"/>
          </w:tcPr>
          <w:p>
            <w:pPr>
              <w:pStyle w:val="17"/>
            </w:pPr>
            <w:r>
              <w:t>2727.07</w:t>
            </w:r>
          </w:p>
        </w:tc>
        <w:tc>
          <w:tcPr>
            <w:tcW w:w="1474" w:type="dxa"/>
            <w:vAlign w:val="center"/>
          </w:tcPr>
          <w:p>
            <w:pPr>
              <w:pStyle w:val="17"/>
            </w:pPr>
            <w:r>
              <w:t>2727.07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814霸州市城市管理综合行政执法局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2727.07</w:t>
            </w:r>
          </w:p>
        </w:tc>
        <w:tc>
          <w:tcPr>
            <w:tcW w:w="2551" w:type="dxa"/>
            <w:vAlign w:val="center"/>
          </w:tcPr>
          <w:p>
            <w:pPr>
              <w:pStyle w:val="17"/>
            </w:pPr>
            <w:r>
              <w:t>2495.46</w:t>
            </w:r>
          </w:p>
        </w:tc>
        <w:tc>
          <w:tcPr>
            <w:tcW w:w="2551" w:type="dxa"/>
            <w:vAlign w:val="center"/>
          </w:tcPr>
          <w:p>
            <w:pPr>
              <w:pStyle w:val="17"/>
            </w:pPr>
            <w:r>
              <w:t>231.61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125.37</w:t>
            </w:r>
          </w:p>
        </w:tc>
        <w:tc>
          <w:tcPr>
            <w:tcW w:w="2551" w:type="dxa"/>
            <w:vAlign w:val="center"/>
          </w:tcPr>
          <w:p>
            <w:pPr>
              <w:pStyle w:val="13"/>
            </w:pPr>
            <w:r>
              <w:t>125.37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125.37</w:t>
            </w:r>
          </w:p>
        </w:tc>
        <w:tc>
          <w:tcPr>
            <w:tcW w:w="2551" w:type="dxa"/>
            <w:vAlign w:val="center"/>
          </w:tcPr>
          <w:p>
            <w:pPr>
              <w:pStyle w:val="13"/>
            </w:pPr>
            <w:r>
              <w:t>125.37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28.61</w:t>
            </w:r>
          </w:p>
        </w:tc>
        <w:tc>
          <w:tcPr>
            <w:tcW w:w="2551" w:type="dxa"/>
            <w:vAlign w:val="center"/>
          </w:tcPr>
          <w:p>
            <w:pPr>
              <w:pStyle w:val="13"/>
            </w:pPr>
            <w:r>
              <w:t>28.61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94.06</w:t>
            </w:r>
          </w:p>
        </w:tc>
        <w:tc>
          <w:tcPr>
            <w:tcW w:w="2551" w:type="dxa"/>
            <w:vAlign w:val="center"/>
          </w:tcPr>
          <w:p>
            <w:pPr>
              <w:pStyle w:val="13"/>
            </w:pPr>
            <w:r>
              <w:t>94.06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2.70</w:t>
            </w:r>
          </w:p>
        </w:tc>
        <w:tc>
          <w:tcPr>
            <w:tcW w:w="2551" w:type="dxa"/>
            <w:vAlign w:val="center"/>
          </w:tcPr>
          <w:p>
            <w:pPr>
              <w:pStyle w:val="13"/>
            </w:pPr>
            <w:r>
              <w:t>2.70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36.98</w:t>
            </w:r>
          </w:p>
        </w:tc>
        <w:tc>
          <w:tcPr>
            <w:tcW w:w="2551" w:type="dxa"/>
            <w:vAlign w:val="center"/>
          </w:tcPr>
          <w:p>
            <w:pPr>
              <w:pStyle w:val="13"/>
            </w:pPr>
            <w:r>
              <w:t>36.98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36.98</w:t>
            </w:r>
          </w:p>
        </w:tc>
        <w:tc>
          <w:tcPr>
            <w:tcW w:w="2551" w:type="dxa"/>
            <w:vAlign w:val="center"/>
          </w:tcPr>
          <w:p>
            <w:pPr>
              <w:pStyle w:val="13"/>
            </w:pPr>
            <w:r>
              <w:t>36.98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36.98</w:t>
            </w:r>
          </w:p>
        </w:tc>
        <w:tc>
          <w:tcPr>
            <w:tcW w:w="2551" w:type="dxa"/>
            <w:vAlign w:val="center"/>
          </w:tcPr>
          <w:p>
            <w:pPr>
              <w:pStyle w:val="13"/>
            </w:pPr>
            <w:r>
              <w:t>36.98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2494.17</w:t>
            </w:r>
          </w:p>
        </w:tc>
        <w:tc>
          <w:tcPr>
            <w:tcW w:w="2551" w:type="dxa"/>
            <w:vAlign w:val="center"/>
          </w:tcPr>
          <w:p>
            <w:pPr>
              <w:pStyle w:val="13"/>
            </w:pPr>
            <w:r>
              <w:t>2262.56</w:t>
            </w:r>
          </w:p>
        </w:tc>
        <w:tc>
          <w:tcPr>
            <w:tcW w:w="2551" w:type="dxa"/>
            <w:vAlign w:val="center"/>
          </w:tcPr>
          <w:p>
            <w:pPr>
              <w:pStyle w:val="13"/>
            </w:pPr>
            <w:r>
              <w:t>231.61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21201</w:t>
            </w:r>
          </w:p>
        </w:tc>
        <w:tc>
          <w:tcPr>
            <w:tcW w:w="4535" w:type="dxa"/>
            <w:vAlign w:val="center"/>
          </w:tcPr>
          <w:p>
            <w:pPr>
              <w:pStyle w:val="14"/>
            </w:pPr>
            <w:r>
              <w:t>城乡社区管理事务</w:t>
            </w:r>
          </w:p>
        </w:tc>
        <w:tc>
          <w:tcPr>
            <w:tcW w:w="2551" w:type="dxa"/>
            <w:vAlign w:val="center"/>
          </w:tcPr>
          <w:p>
            <w:pPr>
              <w:pStyle w:val="13"/>
            </w:pPr>
            <w:r>
              <w:t>2494.17</w:t>
            </w:r>
          </w:p>
        </w:tc>
        <w:tc>
          <w:tcPr>
            <w:tcW w:w="2551" w:type="dxa"/>
            <w:vAlign w:val="center"/>
          </w:tcPr>
          <w:p>
            <w:pPr>
              <w:pStyle w:val="13"/>
            </w:pPr>
            <w:r>
              <w:t>2262.56</w:t>
            </w:r>
          </w:p>
        </w:tc>
        <w:tc>
          <w:tcPr>
            <w:tcW w:w="2551" w:type="dxa"/>
            <w:vAlign w:val="center"/>
          </w:tcPr>
          <w:p>
            <w:pPr>
              <w:pStyle w:val="13"/>
            </w:pPr>
            <w:r>
              <w:t>231.61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2120104</w:t>
            </w:r>
          </w:p>
        </w:tc>
        <w:tc>
          <w:tcPr>
            <w:tcW w:w="4535" w:type="dxa"/>
            <w:vAlign w:val="center"/>
          </w:tcPr>
          <w:p>
            <w:pPr>
              <w:pStyle w:val="14"/>
            </w:pPr>
            <w:r>
              <w:t>城管执法</w:t>
            </w:r>
          </w:p>
        </w:tc>
        <w:tc>
          <w:tcPr>
            <w:tcW w:w="2551" w:type="dxa"/>
            <w:vAlign w:val="center"/>
          </w:tcPr>
          <w:p>
            <w:pPr>
              <w:pStyle w:val="13"/>
            </w:pPr>
            <w:r>
              <w:t>2494.17</w:t>
            </w:r>
          </w:p>
        </w:tc>
        <w:tc>
          <w:tcPr>
            <w:tcW w:w="2551" w:type="dxa"/>
            <w:vAlign w:val="center"/>
          </w:tcPr>
          <w:p>
            <w:pPr>
              <w:pStyle w:val="13"/>
            </w:pPr>
            <w:r>
              <w:t>2262.56</w:t>
            </w:r>
          </w:p>
        </w:tc>
        <w:tc>
          <w:tcPr>
            <w:tcW w:w="2551" w:type="dxa"/>
            <w:vAlign w:val="center"/>
          </w:tcPr>
          <w:p>
            <w:pPr>
              <w:pStyle w:val="13"/>
            </w:pPr>
            <w:r>
              <w:t>231.61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70.55</w:t>
            </w:r>
          </w:p>
        </w:tc>
        <w:tc>
          <w:tcPr>
            <w:tcW w:w="2551" w:type="dxa"/>
            <w:vAlign w:val="center"/>
          </w:tcPr>
          <w:p>
            <w:pPr>
              <w:pStyle w:val="13"/>
            </w:pPr>
            <w:r>
              <w:t>70.55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70.55</w:t>
            </w:r>
          </w:p>
        </w:tc>
        <w:tc>
          <w:tcPr>
            <w:tcW w:w="2551" w:type="dxa"/>
            <w:vAlign w:val="center"/>
          </w:tcPr>
          <w:p>
            <w:pPr>
              <w:pStyle w:val="13"/>
            </w:pPr>
            <w:r>
              <w:t>70.55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70.55</w:t>
            </w:r>
          </w:p>
        </w:tc>
        <w:tc>
          <w:tcPr>
            <w:tcW w:w="2551" w:type="dxa"/>
            <w:vAlign w:val="center"/>
          </w:tcPr>
          <w:p>
            <w:pPr>
              <w:pStyle w:val="13"/>
            </w:pPr>
            <w:r>
              <w:t>70.55</w:t>
            </w:r>
          </w:p>
        </w:tc>
        <w:tc>
          <w:tcPr>
            <w:tcW w:w="255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814霸州市城市管理综合行政执法局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2495.46</w:t>
            </w:r>
          </w:p>
        </w:tc>
        <w:tc>
          <w:tcPr>
            <w:tcW w:w="2551" w:type="dxa"/>
            <w:vAlign w:val="center"/>
          </w:tcPr>
          <w:p>
            <w:pPr>
              <w:pStyle w:val="17"/>
            </w:pPr>
            <w:r>
              <w:t>2283.58</w:t>
            </w:r>
          </w:p>
        </w:tc>
        <w:tc>
          <w:tcPr>
            <w:tcW w:w="2551" w:type="dxa"/>
            <w:vAlign w:val="center"/>
          </w:tcPr>
          <w:p>
            <w:pPr>
              <w:pStyle w:val="17"/>
            </w:pPr>
            <w:r>
              <w:t>211.88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2166.07</w:t>
            </w:r>
          </w:p>
        </w:tc>
        <w:tc>
          <w:tcPr>
            <w:tcW w:w="2551" w:type="dxa"/>
            <w:vAlign w:val="center"/>
          </w:tcPr>
          <w:p>
            <w:pPr>
              <w:pStyle w:val="13"/>
            </w:pPr>
            <w:r>
              <w:t>2166.07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844.80</w:t>
            </w:r>
          </w:p>
        </w:tc>
        <w:tc>
          <w:tcPr>
            <w:tcW w:w="2551" w:type="dxa"/>
            <w:vAlign w:val="center"/>
          </w:tcPr>
          <w:p>
            <w:pPr>
              <w:pStyle w:val="13"/>
            </w:pPr>
            <w:r>
              <w:t>844.80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133.34</w:t>
            </w:r>
          </w:p>
        </w:tc>
        <w:tc>
          <w:tcPr>
            <w:tcW w:w="2551" w:type="dxa"/>
            <w:vAlign w:val="center"/>
          </w:tcPr>
          <w:p>
            <w:pPr>
              <w:pStyle w:val="13"/>
            </w:pPr>
            <w:r>
              <w:t>133.34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41.90</w:t>
            </w:r>
          </w:p>
        </w:tc>
        <w:tc>
          <w:tcPr>
            <w:tcW w:w="2551" w:type="dxa"/>
            <w:vAlign w:val="center"/>
          </w:tcPr>
          <w:p>
            <w:pPr>
              <w:pStyle w:val="13"/>
            </w:pPr>
            <w:r>
              <w:t>41.90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345.09</w:t>
            </w:r>
          </w:p>
        </w:tc>
        <w:tc>
          <w:tcPr>
            <w:tcW w:w="2551" w:type="dxa"/>
            <w:vAlign w:val="center"/>
          </w:tcPr>
          <w:p>
            <w:pPr>
              <w:pStyle w:val="13"/>
            </w:pPr>
            <w:r>
              <w:t>345.09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94.06</w:t>
            </w:r>
          </w:p>
        </w:tc>
        <w:tc>
          <w:tcPr>
            <w:tcW w:w="2551" w:type="dxa"/>
            <w:vAlign w:val="center"/>
          </w:tcPr>
          <w:p>
            <w:pPr>
              <w:pStyle w:val="13"/>
            </w:pPr>
            <w:r>
              <w:t>94.06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2.70</w:t>
            </w:r>
          </w:p>
        </w:tc>
        <w:tc>
          <w:tcPr>
            <w:tcW w:w="2551" w:type="dxa"/>
            <w:vAlign w:val="center"/>
          </w:tcPr>
          <w:p>
            <w:pPr>
              <w:pStyle w:val="13"/>
            </w:pPr>
            <w:r>
              <w:t>2.70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36.98</w:t>
            </w:r>
          </w:p>
        </w:tc>
        <w:tc>
          <w:tcPr>
            <w:tcW w:w="2551" w:type="dxa"/>
            <w:vAlign w:val="center"/>
          </w:tcPr>
          <w:p>
            <w:pPr>
              <w:pStyle w:val="13"/>
            </w:pPr>
            <w:r>
              <w:t>36.98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277.15</w:t>
            </w:r>
          </w:p>
        </w:tc>
        <w:tc>
          <w:tcPr>
            <w:tcW w:w="2551" w:type="dxa"/>
            <w:vAlign w:val="center"/>
          </w:tcPr>
          <w:p>
            <w:pPr>
              <w:pStyle w:val="13"/>
            </w:pPr>
            <w:r>
              <w:t>277.15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70.55</w:t>
            </w:r>
          </w:p>
        </w:tc>
        <w:tc>
          <w:tcPr>
            <w:tcW w:w="2551" w:type="dxa"/>
            <w:vAlign w:val="center"/>
          </w:tcPr>
          <w:p>
            <w:pPr>
              <w:pStyle w:val="13"/>
            </w:pPr>
            <w:r>
              <w:t>70.55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319.50</w:t>
            </w:r>
          </w:p>
        </w:tc>
        <w:tc>
          <w:tcPr>
            <w:tcW w:w="2551" w:type="dxa"/>
            <w:vAlign w:val="center"/>
          </w:tcPr>
          <w:p>
            <w:pPr>
              <w:pStyle w:val="13"/>
            </w:pPr>
            <w:r>
              <w:t>319.50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208.80</w:t>
            </w:r>
          </w:p>
        </w:tc>
        <w:tc>
          <w:tcPr>
            <w:tcW w:w="2551" w:type="dxa"/>
            <w:vAlign w:val="center"/>
          </w:tcPr>
          <w:p>
            <w:pPr>
              <w:pStyle w:val="13"/>
            </w:pPr>
          </w:p>
        </w:tc>
        <w:tc>
          <w:tcPr>
            <w:tcW w:w="2551" w:type="dxa"/>
            <w:vAlign w:val="center"/>
          </w:tcPr>
          <w:p>
            <w:pPr>
              <w:pStyle w:val="13"/>
            </w:pPr>
            <w:r>
              <w:t>208.80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5.44</w:t>
            </w:r>
          </w:p>
        </w:tc>
        <w:tc>
          <w:tcPr>
            <w:tcW w:w="2551" w:type="dxa"/>
            <w:vAlign w:val="center"/>
          </w:tcPr>
          <w:p>
            <w:pPr>
              <w:pStyle w:val="13"/>
            </w:pPr>
          </w:p>
        </w:tc>
        <w:tc>
          <w:tcPr>
            <w:tcW w:w="2551" w:type="dxa"/>
            <w:vAlign w:val="center"/>
          </w:tcPr>
          <w:p>
            <w:pPr>
              <w:pStyle w:val="13"/>
            </w:pPr>
            <w:r>
              <w:t>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0.85</w:t>
            </w:r>
          </w:p>
        </w:tc>
        <w:tc>
          <w:tcPr>
            <w:tcW w:w="2551" w:type="dxa"/>
            <w:vAlign w:val="center"/>
          </w:tcPr>
          <w:p>
            <w:pPr>
              <w:pStyle w:val="13"/>
            </w:pPr>
          </w:p>
        </w:tc>
        <w:tc>
          <w:tcPr>
            <w:tcW w:w="2551" w:type="dxa"/>
            <w:vAlign w:val="center"/>
          </w:tcPr>
          <w:p>
            <w:pPr>
              <w:pStyle w:val="13"/>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2.55</w:t>
            </w:r>
          </w:p>
        </w:tc>
        <w:tc>
          <w:tcPr>
            <w:tcW w:w="2551" w:type="dxa"/>
            <w:vAlign w:val="center"/>
          </w:tcPr>
          <w:p>
            <w:pPr>
              <w:pStyle w:val="13"/>
            </w:pPr>
          </w:p>
        </w:tc>
        <w:tc>
          <w:tcPr>
            <w:tcW w:w="2551" w:type="dxa"/>
            <w:vAlign w:val="center"/>
          </w:tcPr>
          <w:p>
            <w:pPr>
              <w:pStyle w:val="13"/>
            </w:pPr>
            <w: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6.80</w:t>
            </w:r>
          </w:p>
        </w:tc>
        <w:tc>
          <w:tcPr>
            <w:tcW w:w="2551" w:type="dxa"/>
            <w:vAlign w:val="center"/>
          </w:tcPr>
          <w:p>
            <w:pPr>
              <w:pStyle w:val="13"/>
            </w:pPr>
          </w:p>
        </w:tc>
        <w:tc>
          <w:tcPr>
            <w:tcW w:w="2551" w:type="dxa"/>
            <w:vAlign w:val="center"/>
          </w:tcPr>
          <w:p>
            <w:pPr>
              <w:pStyle w:val="13"/>
            </w:pPr>
            <w:r>
              <w:t>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48.67</w:t>
            </w:r>
          </w:p>
        </w:tc>
        <w:tc>
          <w:tcPr>
            <w:tcW w:w="2551" w:type="dxa"/>
            <w:vAlign w:val="center"/>
          </w:tcPr>
          <w:p>
            <w:pPr>
              <w:pStyle w:val="13"/>
            </w:pPr>
          </w:p>
        </w:tc>
        <w:tc>
          <w:tcPr>
            <w:tcW w:w="2551" w:type="dxa"/>
            <w:vAlign w:val="center"/>
          </w:tcPr>
          <w:p>
            <w:pPr>
              <w:pStyle w:val="13"/>
            </w:pPr>
            <w:r>
              <w:t>48.67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15.56</w:t>
            </w:r>
          </w:p>
        </w:tc>
        <w:tc>
          <w:tcPr>
            <w:tcW w:w="2551" w:type="dxa"/>
            <w:vAlign w:val="center"/>
          </w:tcPr>
          <w:p>
            <w:pPr>
              <w:pStyle w:val="13"/>
            </w:pPr>
          </w:p>
        </w:tc>
        <w:tc>
          <w:tcPr>
            <w:tcW w:w="2551" w:type="dxa"/>
            <w:vAlign w:val="center"/>
          </w:tcPr>
          <w:p>
            <w:pPr>
              <w:pStyle w:val="13"/>
            </w:pPr>
            <w:r>
              <w:t>15.56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8.50</w:t>
            </w:r>
          </w:p>
        </w:tc>
        <w:tc>
          <w:tcPr>
            <w:tcW w:w="2551" w:type="dxa"/>
            <w:vAlign w:val="center"/>
          </w:tcPr>
          <w:p>
            <w:pPr>
              <w:pStyle w:val="13"/>
            </w:pPr>
          </w:p>
        </w:tc>
        <w:tc>
          <w:tcPr>
            <w:tcW w:w="2551" w:type="dxa"/>
            <w:vAlign w:val="center"/>
          </w:tcPr>
          <w:p>
            <w:pPr>
              <w:pStyle w:val="13"/>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6.82</w:t>
            </w:r>
          </w:p>
        </w:tc>
        <w:tc>
          <w:tcPr>
            <w:tcW w:w="2551" w:type="dxa"/>
            <w:vAlign w:val="center"/>
          </w:tcPr>
          <w:p>
            <w:pPr>
              <w:pStyle w:val="13"/>
            </w:pPr>
          </w:p>
        </w:tc>
        <w:tc>
          <w:tcPr>
            <w:tcW w:w="2551" w:type="dxa"/>
            <w:vAlign w:val="center"/>
          </w:tcPr>
          <w:p>
            <w:pPr>
              <w:pStyle w:val="13"/>
            </w:pPr>
            <w:r>
              <w:t>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2.55</w:t>
            </w:r>
          </w:p>
        </w:tc>
        <w:tc>
          <w:tcPr>
            <w:tcW w:w="2551" w:type="dxa"/>
            <w:vAlign w:val="center"/>
          </w:tcPr>
          <w:p>
            <w:pPr>
              <w:pStyle w:val="13"/>
            </w:pPr>
          </w:p>
        </w:tc>
        <w:tc>
          <w:tcPr>
            <w:tcW w:w="2551" w:type="dxa"/>
            <w:vAlign w:val="center"/>
          </w:tcPr>
          <w:p>
            <w:pPr>
              <w:pStyle w:val="13"/>
            </w:pPr>
            <w: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30214</w:t>
            </w:r>
          </w:p>
        </w:tc>
        <w:tc>
          <w:tcPr>
            <w:tcW w:w="4535" w:type="dxa"/>
            <w:vAlign w:val="center"/>
          </w:tcPr>
          <w:p>
            <w:pPr>
              <w:pStyle w:val="14"/>
            </w:pPr>
            <w:r>
              <w:t>租赁费</w:t>
            </w:r>
          </w:p>
        </w:tc>
        <w:tc>
          <w:tcPr>
            <w:tcW w:w="2551" w:type="dxa"/>
            <w:vAlign w:val="center"/>
          </w:tcPr>
          <w:p>
            <w:pPr>
              <w:pStyle w:val="13"/>
            </w:pPr>
            <w:r>
              <w:t>12.80</w:t>
            </w:r>
          </w:p>
        </w:tc>
        <w:tc>
          <w:tcPr>
            <w:tcW w:w="2551" w:type="dxa"/>
            <w:vAlign w:val="center"/>
          </w:tcPr>
          <w:p>
            <w:pPr>
              <w:pStyle w:val="13"/>
            </w:pPr>
          </w:p>
        </w:tc>
        <w:tc>
          <w:tcPr>
            <w:tcW w:w="2551" w:type="dxa"/>
            <w:vAlign w:val="center"/>
          </w:tcPr>
          <w:p>
            <w:pPr>
              <w:pStyle w:val="13"/>
            </w:pPr>
            <w:r>
              <w:t>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4.33</w:t>
            </w:r>
          </w:p>
        </w:tc>
        <w:tc>
          <w:tcPr>
            <w:tcW w:w="2551" w:type="dxa"/>
            <w:vAlign w:val="center"/>
          </w:tcPr>
          <w:p>
            <w:pPr>
              <w:pStyle w:val="13"/>
            </w:pPr>
          </w:p>
        </w:tc>
        <w:tc>
          <w:tcPr>
            <w:tcW w:w="2551" w:type="dxa"/>
            <w:vAlign w:val="center"/>
          </w:tcPr>
          <w:p>
            <w:pPr>
              <w:pStyle w:val="13"/>
            </w:pPr>
            <w:r>
              <w:t>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11.76</w:t>
            </w:r>
          </w:p>
        </w:tc>
        <w:tc>
          <w:tcPr>
            <w:tcW w:w="2551" w:type="dxa"/>
            <w:vAlign w:val="center"/>
          </w:tcPr>
          <w:p>
            <w:pPr>
              <w:pStyle w:val="13"/>
            </w:pPr>
          </w:p>
        </w:tc>
        <w:tc>
          <w:tcPr>
            <w:tcW w:w="2551" w:type="dxa"/>
            <w:vAlign w:val="center"/>
          </w:tcPr>
          <w:p>
            <w:pPr>
              <w:pStyle w:val="13"/>
            </w:pPr>
            <w:r>
              <w:t>11.76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7.57</w:t>
            </w:r>
          </w:p>
        </w:tc>
        <w:tc>
          <w:tcPr>
            <w:tcW w:w="2551" w:type="dxa"/>
            <w:vAlign w:val="center"/>
          </w:tcPr>
          <w:p>
            <w:pPr>
              <w:pStyle w:val="13"/>
            </w:pPr>
          </w:p>
        </w:tc>
        <w:tc>
          <w:tcPr>
            <w:tcW w:w="2551" w:type="dxa"/>
            <w:vAlign w:val="center"/>
          </w:tcPr>
          <w:p>
            <w:pPr>
              <w:pStyle w:val="13"/>
            </w:pPr>
            <w:r>
              <w:t>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59.38</w:t>
            </w:r>
          </w:p>
        </w:tc>
        <w:tc>
          <w:tcPr>
            <w:tcW w:w="2551" w:type="dxa"/>
            <w:vAlign w:val="center"/>
          </w:tcPr>
          <w:p>
            <w:pPr>
              <w:pStyle w:val="13"/>
            </w:pPr>
          </w:p>
        </w:tc>
        <w:tc>
          <w:tcPr>
            <w:tcW w:w="2551" w:type="dxa"/>
            <w:vAlign w:val="center"/>
          </w:tcPr>
          <w:p>
            <w:pPr>
              <w:pStyle w:val="13"/>
            </w:pPr>
            <w:r>
              <w:t>59.38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14.22</w:t>
            </w:r>
          </w:p>
        </w:tc>
        <w:tc>
          <w:tcPr>
            <w:tcW w:w="2551" w:type="dxa"/>
            <w:vAlign w:val="center"/>
          </w:tcPr>
          <w:p>
            <w:pPr>
              <w:pStyle w:val="13"/>
            </w:pPr>
          </w:p>
        </w:tc>
        <w:tc>
          <w:tcPr>
            <w:tcW w:w="2551" w:type="dxa"/>
            <w:vAlign w:val="center"/>
          </w:tcPr>
          <w:p>
            <w:pPr>
              <w:pStyle w:val="13"/>
            </w:pPr>
            <w:r>
              <w:t>14.22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117.51</w:t>
            </w:r>
          </w:p>
        </w:tc>
        <w:tc>
          <w:tcPr>
            <w:tcW w:w="2551" w:type="dxa"/>
            <w:vAlign w:val="center"/>
          </w:tcPr>
          <w:p>
            <w:pPr>
              <w:pStyle w:val="13"/>
            </w:pPr>
            <w:r>
              <w:t>117.51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28.61</w:t>
            </w:r>
          </w:p>
        </w:tc>
        <w:tc>
          <w:tcPr>
            <w:tcW w:w="2551" w:type="dxa"/>
            <w:vAlign w:val="center"/>
          </w:tcPr>
          <w:p>
            <w:pPr>
              <w:pStyle w:val="13"/>
            </w:pPr>
            <w:r>
              <w:t>28.61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30307</w:t>
            </w:r>
          </w:p>
        </w:tc>
        <w:tc>
          <w:tcPr>
            <w:tcW w:w="4535" w:type="dxa"/>
            <w:vAlign w:val="center"/>
          </w:tcPr>
          <w:p>
            <w:pPr>
              <w:pStyle w:val="14"/>
            </w:pPr>
            <w:r>
              <w:t>医疗费补助</w:t>
            </w:r>
          </w:p>
        </w:tc>
        <w:tc>
          <w:tcPr>
            <w:tcW w:w="2551" w:type="dxa"/>
            <w:vAlign w:val="center"/>
          </w:tcPr>
          <w:p>
            <w:pPr>
              <w:pStyle w:val="13"/>
            </w:pPr>
            <w:r>
              <w:t>88.76</w:t>
            </w:r>
          </w:p>
        </w:tc>
        <w:tc>
          <w:tcPr>
            <w:tcW w:w="2551" w:type="dxa"/>
            <w:vAlign w:val="center"/>
          </w:tcPr>
          <w:p>
            <w:pPr>
              <w:pStyle w:val="13"/>
            </w:pPr>
            <w:r>
              <w:t>88.76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0.14</w:t>
            </w:r>
          </w:p>
        </w:tc>
        <w:tc>
          <w:tcPr>
            <w:tcW w:w="2551" w:type="dxa"/>
            <w:vAlign w:val="center"/>
          </w:tcPr>
          <w:p>
            <w:pPr>
              <w:pStyle w:val="13"/>
            </w:pPr>
            <w:r>
              <w:t>0.14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3.08</w:t>
            </w:r>
          </w:p>
        </w:tc>
        <w:tc>
          <w:tcPr>
            <w:tcW w:w="2551" w:type="dxa"/>
            <w:vAlign w:val="center"/>
          </w:tcPr>
          <w:p>
            <w:pPr>
              <w:pStyle w:val="13"/>
            </w:pPr>
          </w:p>
        </w:tc>
        <w:tc>
          <w:tcPr>
            <w:tcW w:w="2551" w:type="dxa"/>
            <w:vAlign w:val="center"/>
          </w:tcPr>
          <w:p>
            <w:pPr>
              <w:pStyle w:val="13"/>
            </w:pPr>
            <w:r>
              <w:t>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3.08</w:t>
            </w:r>
          </w:p>
        </w:tc>
        <w:tc>
          <w:tcPr>
            <w:tcW w:w="2551" w:type="dxa"/>
            <w:vAlign w:val="center"/>
          </w:tcPr>
          <w:p>
            <w:pPr>
              <w:pStyle w:val="13"/>
            </w:pPr>
          </w:p>
        </w:tc>
        <w:tc>
          <w:tcPr>
            <w:tcW w:w="2551" w:type="dxa"/>
            <w:vAlign w:val="center"/>
          </w:tcPr>
          <w:p>
            <w:pPr>
              <w:pStyle w:val="13"/>
            </w:pPr>
            <w:r>
              <w:t>3.08</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814霸州市城市管理综合行政执法局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814霸州市城市管理综合行政执法局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814霸州市城市管理综合行政执法局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rPr>
                <w:rFonts w:hint="default" w:eastAsia="方正书宋_GBK"/>
                <w:lang w:val="en-US" w:eastAsia="zh-CN"/>
              </w:rPr>
            </w:pPr>
            <w:r>
              <w:rPr>
                <w:rFonts w:hint="eastAsia"/>
                <w:lang w:val="en-US" w:eastAsia="zh-CN"/>
              </w:rPr>
              <w:t>60.38</w:t>
            </w:r>
          </w:p>
        </w:tc>
        <w:tc>
          <w:tcPr>
            <w:tcW w:w="1643" w:type="dxa"/>
            <w:vAlign w:val="center"/>
          </w:tcPr>
          <w:p>
            <w:pPr>
              <w:pStyle w:val="17"/>
              <w:rPr>
                <w:rFonts w:hint="default" w:eastAsia="方正书宋_GBK"/>
                <w:lang w:val="en-US" w:eastAsia="zh-CN"/>
              </w:rPr>
            </w:pPr>
            <w:r>
              <w:rPr>
                <w:rFonts w:hint="eastAsia"/>
                <w:lang w:val="en-US" w:eastAsia="zh-CN"/>
              </w:rPr>
              <w:t>60.38</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eastAsia="zh-CN"/>
              </w:rPr>
            </w:pPr>
            <w:r>
              <w:rPr>
                <w:rFonts w:hint="eastAsia"/>
                <w:lang w:val="en-US" w:eastAsia="zh-CN"/>
              </w:rPr>
              <w:t>2</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eastAsia="zh-CN"/>
              </w:rPr>
            </w:pPr>
            <w:r>
              <w:rPr>
                <w:rFonts w:hint="eastAsia"/>
                <w:lang w:val="en-US" w:eastAsia="zh-CN"/>
              </w:rPr>
              <w:t>3</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eastAsia="zh-CN"/>
              </w:rPr>
            </w:pPr>
            <w:r>
              <w:rPr>
                <w:rFonts w:hint="eastAsia"/>
                <w:lang w:val="en-US" w:eastAsia="zh-CN"/>
              </w:rPr>
              <w:t>4</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eastAsia="zh-CN"/>
              </w:rPr>
            </w:pPr>
            <w:r>
              <w:rPr>
                <w:rFonts w:hint="eastAsia"/>
                <w:lang w:val="en-US" w:eastAsia="zh-CN"/>
              </w:rPr>
              <w:t>5</w:t>
            </w:r>
          </w:p>
        </w:tc>
        <w:tc>
          <w:tcPr>
            <w:tcW w:w="1643" w:type="dxa"/>
            <w:vAlign w:val="center"/>
          </w:tcPr>
          <w:p>
            <w:pPr>
              <w:pStyle w:val="14"/>
            </w:pPr>
            <w:r>
              <w:t>二、公务用车购置及运维费</w:t>
            </w:r>
          </w:p>
        </w:tc>
        <w:tc>
          <w:tcPr>
            <w:tcW w:w="1643" w:type="dxa"/>
            <w:vAlign w:val="center"/>
          </w:tcPr>
          <w:p>
            <w:pPr>
              <w:pStyle w:val="13"/>
            </w:pPr>
            <w:r>
              <w:t>59.38</w:t>
            </w:r>
          </w:p>
        </w:tc>
        <w:tc>
          <w:tcPr>
            <w:tcW w:w="1643" w:type="dxa"/>
            <w:vAlign w:val="center"/>
          </w:tcPr>
          <w:p>
            <w:pPr>
              <w:pStyle w:val="13"/>
            </w:pPr>
            <w:r>
              <w:t>59.38</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eastAsia="zh-CN"/>
              </w:rPr>
            </w:pPr>
            <w:r>
              <w:rPr>
                <w:rFonts w:hint="eastAsia"/>
                <w:lang w:val="en-US" w:eastAsia="zh-CN"/>
              </w:rPr>
              <w:t>6</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eastAsia="zh-CN"/>
              </w:rPr>
            </w:pPr>
            <w:r>
              <w:rPr>
                <w:rFonts w:hint="eastAsia"/>
                <w:lang w:val="en-US" w:eastAsia="zh-CN"/>
              </w:rPr>
              <w:t>7</w:t>
            </w:r>
          </w:p>
        </w:tc>
        <w:tc>
          <w:tcPr>
            <w:tcW w:w="1643" w:type="dxa"/>
            <w:vAlign w:val="center"/>
          </w:tcPr>
          <w:p>
            <w:pPr>
              <w:pStyle w:val="14"/>
            </w:pPr>
            <w:r>
              <w:t xml:space="preserve">          公务用车运行维护费</w:t>
            </w:r>
          </w:p>
        </w:tc>
        <w:tc>
          <w:tcPr>
            <w:tcW w:w="1643" w:type="dxa"/>
            <w:vAlign w:val="center"/>
          </w:tcPr>
          <w:p>
            <w:pPr>
              <w:pStyle w:val="13"/>
            </w:pPr>
            <w:r>
              <w:t>59.38</w:t>
            </w:r>
          </w:p>
        </w:tc>
        <w:tc>
          <w:tcPr>
            <w:tcW w:w="1643" w:type="dxa"/>
            <w:vAlign w:val="center"/>
          </w:tcPr>
          <w:p>
            <w:pPr>
              <w:pStyle w:val="13"/>
            </w:pPr>
            <w:r>
              <w:t>59.38</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eastAsia="zh-CN"/>
              </w:rPr>
            </w:pPr>
            <w:r>
              <w:rPr>
                <w:rFonts w:hint="eastAsia"/>
                <w:lang w:val="en-US" w:eastAsia="zh-CN"/>
              </w:rPr>
              <w:t>8</w:t>
            </w:r>
          </w:p>
        </w:tc>
        <w:tc>
          <w:tcPr>
            <w:tcW w:w="1643" w:type="dxa"/>
            <w:vAlign w:val="center"/>
          </w:tcPr>
          <w:p>
            <w:pPr>
              <w:pStyle w:val="14"/>
            </w:pPr>
            <w:r>
              <w:t>三、公务接待费</w:t>
            </w:r>
          </w:p>
        </w:tc>
        <w:tc>
          <w:tcPr>
            <w:tcW w:w="1643" w:type="dxa"/>
            <w:vAlign w:val="center"/>
          </w:tcPr>
          <w:p>
            <w:pPr>
              <w:pStyle w:val="13"/>
            </w:pPr>
            <w:r>
              <w:t>1.00</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霸州市城市管理综合行政执法局2022年部门预算信息公开情况说明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霸州市城市管理综合行政执法局2022年部门预算信息公开情况说明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按照《预算法》、《地方预决算公开操作规程》和《关于进一步推进预算公开工作的实施意见》规定，现将霸州市城市管理综合行政执法局2022年部门预算公开如下：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霸州市城市管理综合行政执法局</w:t>
      </w:r>
    </w:p>
    <w:p>
      <w:pPr>
        <w:pStyle w:val="19"/>
      </w:pPr>
      <w:r>
        <w:t>职能配置、内设机构和人员编制规定</w:t>
      </w:r>
    </w:p>
    <w:p>
      <w:pPr>
        <w:pStyle w:val="19"/>
      </w:pPr>
    </w:p>
    <w:p>
      <w:pPr>
        <w:pStyle w:val="19"/>
      </w:pPr>
      <w:r>
        <w:t>第一条  根据《中共廊坊市委办公室廊坊市人民政府办公室关于印发&lt;霸州市机构改革方案&gt;的通知》（廊办字【2018】72号），制定本规定。</w:t>
      </w:r>
    </w:p>
    <w:p>
      <w:pPr>
        <w:pStyle w:val="19"/>
      </w:pPr>
      <w:r>
        <w:t>第二条  霸州市城市管理综合行政执法局为市政府工作部门，机构规格正科级。</w:t>
      </w:r>
    </w:p>
    <w:p>
      <w:pPr>
        <w:pStyle w:val="19"/>
      </w:pPr>
      <w:r>
        <w:t>第三条  贯彻落实党中央和省委、廊坊市委、霸州市委关于城市管理综合行政执法工作的方针政策和决策部署，坚持和加强党对城市管理综合行政执法工作的集中统一领导。主要职责是：</w:t>
      </w:r>
    </w:p>
    <w:p>
      <w:pPr>
        <w:pStyle w:val="19"/>
      </w:pPr>
      <w:r>
        <w:t>（一）贯彻落实国家和省、市关于城市管理综合行政执法工作的法律、法规、规章及相关政策；拟定全市城市管理综合行政执法相关政策、制度和发展规划并组织实施；统筹全市城市管理综合行政执法的改革与发展。</w:t>
      </w:r>
    </w:p>
    <w:p>
      <w:pPr>
        <w:pStyle w:val="19"/>
      </w:pPr>
      <w:r>
        <w:t>（二）行使市容环境卫生管理方面法律、法规、规章规定的全部行政处罚权；履行市容环境卫生管理方面法律、法规、规章规定的有关职责。</w:t>
      </w:r>
    </w:p>
    <w:p>
      <w:pPr>
        <w:pStyle w:val="19"/>
      </w:pPr>
      <w:r>
        <w:t>（三）行使城乡规划管理方面法律、法规、规章规定的全部行政处罚权。</w:t>
      </w:r>
    </w:p>
    <w:p>
      <w:pPr>
        <w:pStyle w:val="19"/>
      </w:pPr>
      <w:r>
        <w:t>（四）行使城市绿化管理方面法律、法规、规章规定的全部行政处罚权。</w:t>
      </w:r>
    </w:p>
    <w:p>
      <w:pPr>
        <w:pStyle w:val="19"/>
      </w:pPr>
      <w:r>
        <w:t>（五）行使市场监督管理方面法律、法规、规章规定的对户外公共场所无照经营行为的行政处罚权。</w:t>
      </w:r>
    </w:p>
    <w:p>
      <w:pPr>
        <w:pStyle w:val="19"/>
      </w:pPr>
      <w:r>
        <w:t>（六）行使公安交通管理方面法律、法规、规章规定的对侵占城市道路人行道、公共场地等行为的行政处罚权。</w:t>
      </w:r>
    </w:p>
    <w:p>
      <w:pPr>
        <w:pStyle w:val="19"/>
      </w:pPr>
      <w:r>
        <w:t xml:space="preserve">（七）行使市政、公用设施管理方面法律、法规、规章规定的全部行政处罚权。行使临时占用道路审批管理权并依法收取占用费。 </w:t>
      </w:r>
    </w:p>
    <w:p>
      <w:pPr>
        <w:pStyle w:val="19"/>
      </w:pPr>
      <w:r>
        <w:t>(八) 负责编制城区户外广告、招牌设置规划和技术规范；负责城区户外广告和张贴张挂宣传品的审批、监督和管理工作。</w:t>
      </w:r>
    </w:p>
    <w:p>
      <w:pPr>
        <w:pStyle w:val="19"/>
      </w:pPr>
      <w:r>
        <w:t>（九）负责受理上级批转的信访案件和群众举报案件及办理人大、政协建议、提案工作。</w:t>
      </w:r>
    </w:p>
    <w:p>
      <w:pPr>
        <w:pStyle w:val="19"/>
      </w:pPr>
      <w:r>
        <w:t>（十）负责对各乡、镇（区办）城市管理综合行政执法工作的业务指导、检查、督导、协调等工作。</w:t>
      </w:r>
    </w:p>
    <w:p>
      <w:pPr>
        <w:pStyle w:val="19"/>
      </w:pPr>
      <w:r>
        <w:t>（十一）负责干部职工思想政治教育及业务培训工作，局内党（团）员的发展、教育、管理工作，工青妇及安全保卫工作。</w:t>
      </w:r>
    </w:p>
    <w:p>
      <w:pPr>
        <w:pStyle w:val="19"/>
      </w:pPr>
      <w:r>
        <w:t>（十二）履行法律、法规、规章或者省、市人民政府规定的其他职责。</w:t>
      </w:r>
    </w:p>
    <w:p>
      <w:pPr>
        <w:pStyle w:val="19"/>
      </w:pPr>
      <w:r>
        <w:t>第四条  市城市管理综合行政执法局设下列内设机构：</w:t>
      </w:r>
    </w:p>
    <w:p>
      <w:pPr>
        <w:pStyle w:val="19"/>
      </w:pPr>
      <w:r>
        <w:t>（一）办公室</w:t>
      </w:r>
    </w:p>
    <w:p>
      <w:pPr>
        <w:pStyle w:val="19"/>
      </w:pPr>
      <w:r>
        <w:t>负责局长办公会议、党组会议和全局大型会议的准备、组织、协调、记录、会议纪要起草工作；负责汇报、总结等各类文件起草、文电处理、档案管理、印鉴管理和信息处理工作；负责受理信访案件和群众举报案件及办理市人大、政协建议、提案工作；负责市长专线批办案件的承办工作；负责机关日常行政事务工作的组织、协调及全局各项工作的督促、检查工作；负责制定机关内部规章制度；负责公务接待、机关福利工作；负责机关国有资产及后勤管理工作；负责执法装备、车辆、驾驶员、服装的管理工作；负责机关安全、值班、保密工作。</w:t>
      </w:r>
    </w:p>
    <w:p>
      <w:pPr>
        <w:pStyle w:val="19"/>
      </w:pPr>
      <w:r>
        <w:t>负责全局年度预算资金的编报、调配、使用和管理工作；负责各项经费支出的预决算申报和财务审计监督工作；负责财务票据、证卡、凭证的领取、登记、发放、审验、年检、核销等管理工作；负责单位固定资产的核算管理工作；负责财务档案的管理工作；负责罚没、收费款项管理工作；负责住房公积金管理、保险缴纳、个税申报、工资核发等财务工作。负责领导交办的其他工作。</w:t>
      </w:r>
    </w:p>
    <w:p>
      <w:pPr>
        <w:pStyle w:val="19"/>
      </w:pPr>
      <w:r>
        <w:t>（二）党务宣教室</w:t>
      </w:r>
    </w:p>
    <w:p>
      <w:pPr>
        <w:pStyle w:val="19"/>
      </w:pPr>
      <w:r>
        <w:t>负责全局党建工作，负责局党组理论中心组学习工作，负责党员的发展和党员的学习、教育、培训工作；负责党风廉政建设工作、负责组织生活会、党务公开、民主评议党员等工作；负责工、青、妇、计划生育等工作。</w:t>
      </w:r>
    </w:p>
    <w:p>
      <w:pPr>
        <w:pStyle w:val="19"/>
      </w:pPr>
      <w:r>
        <w:t>负责国家、省、市方针政策及有关城市管理法律、法规的宣传教育及年度培训工作；负责各项执法活动对外宣传、报道工作；负责舆情监管、政务公开、新闻发布会工作；负责本局网站、微博、微信公众号等媒体平台的建设、维护、内容更新工作；负责领导交办的其他工作。</w:t>
      </w:r>
    </w:p>
    <w:p>
      <w:pPr>
        <w:pStyle w:val="19"/>
      </w:pPr>
      <w:r>
        <w:t>（三）政策法规指导室</w:t>
      </w:r>
    </w:p>
    <w:p>
      <w:pPr>
        <w:pStyle w:val="19"/>
      </w:pPr>
      <w:r>
        <w:t>负责管理全局各类执法案卷审核；负责有关综合行政执法方面规范性文件合法性审查工作；负责执法公示制度、执法全过程记录制度、执法决定法制审核工作；负责行政赔偿、行政复议、行政诉讼、行政听证、强制执行申请等工作； 负责组织协调地方性立法工作；负责法制工作课题调研、起草法制工作总结报告和规范性文件；负责对执法工作的细化，制定局内部综合行政执法业务管理规定；负责执法文书、执法案卷的管理工作；负责行政执法证件执培训、考取、审核等工作；负责有关城市管理方面法律、法规、规章、规范性文件的整编、贯彻落实及培训工作；负责与相关职能股室的业务对接。</w:t>
      </w:r>
    </w:p>
    <w:p>
      <w:pPr>
        <w:pStyle w:val="19"/>
      </w:pPr>
      <w:r>
        <w:t>负责全局审批事项的管理和执行工作；负责行政审批窗口工作。</w:t>
      </w:r>
    </w:p>
    <w:p>
      <w:pPr>
        <w:pStyle w:val="19"/>
      </w:pPr>
      <w:r>
        <w:t>负责协调、指导全市各乡镇区办、各分局城管执法队伍开展专项执法和综合整治行动，协调各乡镇区办、分局城管执法部门和相关行政管理部门拟移交市局直接查处的城管执法案件。负责领导交办的其他工作。</w:t>
      </w:r>
    </w:p>
    <w:p>
      <w:pPr>
        <w:pStyle w:val="19"/>
      </w:pPr>
      <w:r>
        <w:t>（四）人事督察室</w:t>
      </w:r>
    </w:p>
    <w:p>
      <w:pPr>
        <w:pStyle w:val="19"/>
      </w:pPr>
      <w:r>
        <w:t>负责机关内部机构设置和人员编制工作；负责人员招录、调配、考核、奖惩、评聘、培训、工资福利等工作；负责人事档案管理、人员信息统计工作；负责本局劳务派遣及协管人员的管理工作；负责在职人员出入境证照（通行证）管理及报批工作；负责退休人员、军转人员的服务和管理工作。</w:t>
      </w:r>
    </w:p>
    <w:p>
      <w:pPr>
        <w:pStyle w:val="19"/>
      </w:pPr>
      <w:r>
        <w:t>负责日常执法工作的督查督办工作；负责全局纪检工作；负责监督检查全市城市管理综合行政执法队伍履行职责、行使职权情况；督导检查不依法处理、不及时查处案件的行为；负责行政执法过错追究工作，对执法人员违法行为的调查处理工作；负责全局人员考勤工作以及各项规章制度的落实工作；负责与有关行政主管部门的联系与协调；负责领导交办的其他工作。</w:t>
      </w:r>
    </w:p>
    <w:p>
      <w:pPr>
        <w:pStyle w:val="19"/>
      </w:pPr>
      <w:r>
        <w:t>第五条  市城市管理综合行政执法局机关行政编制 12名，正科级领导职数1 名，副科级领导职数 2 名，正股4名。</w:t>
      </w:r>
    </w:p>
    <w:p>
      <w:pPr>
        <w:pStyle w:val="19"/>
      </w:pPr>
      <w:r>
        <w:t>第六条  本规定具体解释工作由中共霸州市委机构编制委员会办公室承担，其调整由中共霸州市委机构编制委员会办公室按规定程序办理。</w:t>
      </w:r>
    </w:p>
    <w:p>
      <w:pPr>
        <w:pStyle w:val="19"/>
      </w:pPr>
      <w:r>
        <w:t>第七条  本规定自2019年 4月 1日起施行。</w:t>
      </w:r>
    </w:p>
    <w:p>
      <w:pPr>
        <w:pStyle w:val="19"/>
      </w:pPr>
    </w:p>
    <w:p>
      <w:pPr>
        <w:pStyle w:val="19"/>
      </w:pPr>
    </w:p>
    <w:p>
      <w:pPr>
        <w:pStyle w:val="19"/>
      </w:pP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霸州市城市管理综合行政执法局本级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按照预算管理有关规定，目前我省部门预算的编制实行综合预算管理，即全部收入和支出都反映在预算中。霸州市城市管理综合行政执法局机关及所属事业单位的收支包含在部门预算中。</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lang w:val="en-US" w:eastAsia="zh-CN"/>
        </w:rPr>
        <w:t>收入说明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反映本部门当年全部收入。2022年预算收入 2727.07万元，其中：一般公共预算收入2727.07万元，政府性基金预算收入0万元，国有资本经营预算收入0万元，财政专户管理资金收入0万元，上级补助收入0万元，事业收入0万元，经营收入0万元，附属单位上缴收入0万元，其他收入0万元</w:t>
      </w:r>
      <w:r>
        <w:rPr>
          <w:rFonts w:hint="eastAsia" w:eastAsia="方正仿宋_GBK" w:cs="Times New Roman"/>
          <w:color w:val="000000"/>
          <w:sz w:val="28"/>
          <w:lang w:val="en-US" w:eastAsia="zh-CN"/>
        </w:rPr>
        <w:t>，上年结转0万元</w:t>
      </w:r>
      <w:r>
        <w:rPr>
          <w:rFonts w:ascii="Times New Roman" w:hAnsi="Times New Roman" w:eastAsia="方正仿宋_GBK" w:cs="Times New Roman"/>
          <w:color w:val="000000"/>
          <w:sz w:val="28"/>
        </w:rPr>
        <w:t>。</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2、支出说明</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收支预算总表支出栏、基本支出表、项目支出表按经济分类和支出功能分类科目编制，反映霸州市</w:t>
      </w:r>
      <w:r>
        <w:rPr>
          <w:rFonts w:hint="eastAsia" w:eastAsia="方正仿宋_GBK" w:cs="Times New Roman"/>
          <w:color w:val="000000"/>
          <w:sz w:val="28"/>
          <w:lang w:eastAsia="zh-CN"/>
        </w:rPr>
        <w:t>城市管理综合行政执法局</w:t>
      </w:r>
      <w:r>
        <w:rPr>
          <w:rFonts w:hint="eastAsia" w:ascii="Times New Roman" w:hAnsi="Times New Roman" w:eastAsia="方正仿宋_GBK" w:cs="Times New Roman"/>
          <w:color w:val="000000"/>
          <w:sz w:val="28"/>
        </w:rPr>
        <w:t>2022年度部门预算中支出预算的总体情况。2022年支出预算</w:t>
      </w:r>
      <w:r>
        <w:rPr>
          <w:rFonts w:hint="eastAsia" w:eastAsia="方正仿宋_GBK" w:cs="Times New Roman"/>
          <w:color w:val="000000"/>
          <w:sz w:val="28"/>
          <w:lang w:val="en-US" w:eastAsia="zh-CN"/>
        </w:rPr>
        <w:t>2727.07</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lang w:val="en-US" w:eastAsia="zh-CN"/>
        </w:rPr>
        <w:t>2495.46</w:t>
      </w:r>
      <w:r>
        <w:rPr>
          <w:rFonts w:hint="eastAsia" w:ascii="Times New Roman" w:hAnsi="Times New Roman" w:eastAsia="方正仿宋_GBK" w:cs="Times New Roman"/>
          <w:color w:val="000000"/>
          <w:sz w:val="28"/>
        </w:rPr>
        <w:t>万元，包括：人员经费</w:t>
      </w:r>
      <w:r>
        <w:rPr>
          <w:rFonts w:hint="eastAsia" w:eastAsia="方正仿宋_GBK" w:cs="Times New Roman"/>
          <w:color w:val="000000"/>
          <w:sz w:val="28"/>
          <w:lang w:val="en-US" w:eastAsia="zh-CN"/>
        </w:rPr>
        <w:t>2283.58</w:t>
      </w:r>
      <w:r>
        <w:rPr>
          <w:rFonts w:hint="eastAsia" w:ascii="Times New Roman" w:hAnsi="Times New Roman" w:eastAsia="方正仿宋_GBK" w:cs="Times New Roman"/>
          <w:color w:val="000000"/>
          <w:sz w:val="28"/>
        </w:rPr>
        <w:t>万元和日常公用经费</w:t>
      </w:r>
      <w:r>
        <w:rPr>
          <w:rFonts w:hint="eastAsia" w:eastAsia="方正仿宋_GBK" w:cs="Times New Roman"/>
          <w:color w:val="000000"/>
          <w:sz w:val="28"/>
          <w:lang w:val="en-US" w:eastAsia="zh-CN"/>
        </w:rPr>
        <w:t>211.88</w:t>
      </w:r>
      <w:r>
        <w:rPr>
          <w:rFonts w:hint="eastAsia" w:ascii="Times New Roman" w:hAnsi="Times New Roman" w:eastAsia="方正仿宋_GBK" w:cs="Times New Roman"/>
          <w:color w:val="000000"/>
          <w:sz w:val="28"/>
        </w:rPr>
        <w:t>万元；项目支出</w:t>
      </w:r>
      <w:r>
        <w:rPr>
          <w:rFonts w:hint="eastAsia" w:eastAsia="方正仿宋_GBK" w:cs="Times New Roman"/>
          <w:color w:val="000000"/>
          <w:sz w:val="28"/>
          <w:lang w:val="en-US" w:eastAsia="zh-CN"/>
        </w:rPr>
        <w:t>231.61</w:t>
      </w:r>
      <w:r>
        <w:rPr>
          <w:rFonts w:hint="eastAsia" w:ascii="Times New Roman" w:hAnsi="Times New Roman" w:eastAsia="方正仿宋_GBK" w:cs="Times New Roman"/>
          <w:color w:val="000000"/>
          <w:sz w:val="28"/>
        </w:rPr>
        <w:t>万元，主要为执法停车保管费用、冯庄土地租赁经费、执法记录仪数据采集站项目经费等。</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3、比上年增减情况</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2022年预算收支安排</w:t>
      </w:r>
      <w:r>
        <w:rPr>
          <w:rFonts w:hint="eastAsia" w:eastAsia="方正仿宋_GBK" w:cs="Times New Roman"/>
          <w:color w:val="000000"/>
          <w:sz w:val="28"/>
          <w:lang w:val="en-US" w:eastAsia="zh-CN"/>
        </w:rPr>
        <w:t>2727.07</w:t>
      </w:r>
      <w:r>
        <w:rPr>
          <w:rFonts w:hint="eastAsia" w:ascii="Times New Roman" w:hAnsi="Times New Roman" w:eastAsia="方正仿宋_GBK" w:cs="Times New Roman"/>
          <w:color w:val="000000"/>
          <w:sz w:val="28"/>
        </w:rPr>
        <w:t>万元，较2021预算减少</w:t>
      </w:r>
      <w:r>
        <w:rPr>
          <w:rFonts w:hint="eastAsia" w:eastAsia="方正仿宋_GBK" w:cs="Times New Roman"/>
          <w:color w:val="000000"/>
          <w:sz w:val="28"/>
          <w:lang w:val="en-US" w:eastAsia="zh-CN"/>
        </w:rPr>
        <w:t>1061.26</w:t>
      </w:r>
      <w:r>
        <w:rPr>
          <w:rFonts w:hint="eastAsia" w:ascii="Times New Roman" w:hAnsi="Times New Roman" w:eastAsia="方正仿宋_GBK" w:cs="Times New Roman"/>
          <w:color w:val="000000"/>
          <w:sz w:val="28"/>
        </w:rPr>
        <w:t>万元，其中：基本支出减少</w:t>
      </w:r>
      <w:r>
        <w:rPr>
          <w:rFonts w:hint="eastAsia" w:eastAsia="方正仿宋_GBK" w:cs="Times New Roman"/>
          <w:color w:val="000000"/>
          <w:sz w:val="28"/>
          <w:lang w:val="en-US" w:eastAsia="zh-CN"/>
        </w:rPr>
        <w:t>384.72</w:t>
      </w:r>
      <w:r>
        <w:rPr>
          <w:rFonts w:hint="eastAsia" w:ascii="Times New Roman" w:hAnsi="Times New Roman" w:eastAsia="方正仿宋_GBK" w:cs="Times New Roman"/>
          <w:color w:val="000000"/>
          <w:sz w:val="28"/>
        </w:rPr>
        <w:t>万元，主要为减少</w:t>
      </w:r>
      <w:r>
        <w:rPr>
          <w:rFonts w:hint="eastAsia" w:eastAsia="方正仿宋_GBK" w:cs="Times New Roman"/>
          <w:color w:val="000000"/>
          <w:sz w:val="28"/>
          <w:lang w:eastAsia="zh-CN"/>
        </w:rPr>
        <w:t>人员经费</w:t>
      </w:r>
      <w:r>
        <w:rPr>
          <w:rFonts w:hint="eastAsia" w:ascii="Times New Roman" w:hAnsi="Times New Roman" w:eastAsia="方正仿宋_GBK" w:cs="Times New Roman"/>
          <w:color w:val="000000"/>
          <w:sz w:val="28"/>
        </w:rPr>
        <w:t>支出；项目支出减少</w:t>
      </w:r>
      <w:r>
        <w:rPr>
          <w:rFonts w:hint="eastAsia" w:eastAsia="方正仿宋_GBK" w:cs="Times New Roman"/>
          <w:color w:val="000000"/>
          <w:sz w:val="28"/>
          <w:lang w:val="en-US" w:eastAsia="zh-CN"/>
        </w:rPr>
        <w:t>676.54</w:t>
      </w:r>
      <w:r>
        <w:rPr>
          <w:rFonts w:hint="eastAsia" w:ascii="Times New Roman" w:hAnsi="Times New Roman" w:eastAsia="方正仿宋_GBK" w:cs="Times New Roman"/>
          <w:color w:val="000000"/>
          <w:sz w:val="28"/>
        </w:rPr>
        <w:t>万元，主要为减少</w:t>
      </w:r>
      <w:r>
        <w:rPr>
          <w:rFonts w:hint="eastAsia" w:eastAsia="方正仿宋_GBK" w:cs="Times New Roman"/>
          <w:color w:val="000000"/>
          <w:sz w:val="28"/>
          <w:lang w:eastAsia="zh-CN"/>
        </w:rPr>
        <w:t>移动执法站购置、行政执法服装采购经费等</w:t>
      </w:r>
      <w:r>
        <w:rPr>
          <w:rFonts w:hint="eastAsia" w:ascii="Times New Roman" w:hAnsi="Times New Roman" w:eastAsia="方正仿宋_GBK" w:cs="Times New Roman"/>
          <w:color w:val="000000"/>
          <w:sz w:val="28"/>
        </w:rPr>
        <w:t>项目支出。</w:t>
      </w:r>
    </w:p>
    <w:p>
      <w:pPr>
        <w:pStyle w:val="20"/>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机关运行经费共计安排</w:t>
      </w:r>
      <w:r>
        <w:rPr>
          <w:rFonts w:hint="eastAsia" w:eastAsia="方正仿宋_GBK" w:cs="Times New Roman"/>
          <w:color w:val="000000"/>
          <w:sz w:val="28"/>
          <w:lang w:val="en-US" w:eastAsia="zh-CN"/>
        </w:rPr>
        <w:t>211.88</w:t>
      </w:r>
      <w:r>
        <w:rPr>
          <w:rFonts w:hint="eastAsia" w:ascii="Times New Roman" w:hAnsi="Times New Roman" w:eastAsia="方正仿宋_GBK" w:cs="Times New Roman"/>
          <w:color w:val="000000"/>
          <w:sz w:val="28"/>
        </w:rPr>
        <w:t>万元，主要用于办公区的日常维修、办公用房水电费、办公用房取暖费、办公及印刷费，邮电费、差旅费、福利费、办公用房物业管理费、公务用车运行维护费</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公务接待费</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培训费</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租赁费</w:t>
      </w:r>
      <w:r>
        <w:rPr>
          <w:rFonts w:hint="eastAsia" w:ascii="Times New Roman" w:hAnsi="Times New Roman" w:eastAsia="方正仿宋_GBK" w:cs="Times New Roman"/>
          <w:color w:val="000000"/>
          <w:sz w:val="28"/>
          <w:lang w:eastAsia="zh-CN"/>
        </w:rPr>
        <w:t>、工会经费</w:t>
      </w:r>
      <w:r>
        <w:rPr>
          <w:rFonts w:hint="eastAsia" w:ascii="Times New Roman" w:hAnsi="Times New Roman" w:eastAsia="方正仿宋_GBK" w:cs="Times New Roman"/>
          <w:color w:val="000000"/>
          <w:sz w:val="28"/>
        </w:rPr>
        <w:t>等日常运行支出。</w:t>
      </w:r>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ind w:firstLine="560" w:firstLineChars="200"/>
        <w:rPr>
          <w:rFonts w:ascii="仿宋_GB2312" w:hAnsi="Times New Roman" w:eastAsia="仿宋_GB2312" w:cs="Times New Roman"/>
          <w:sz w:val="32"/>
          <w:szCs w:val="32"/>
        </w:rPr>
      </w:pPr>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年，我部门“三公”经费预算安排</w:t>
      </w:r>
      <w:r>
        <w:rPr>
          <w:rFonts w:hint="eastAsia" w:eastAsia="方正仿宋_GBK" w:cs="Times New Roman"/>
          <w:color w:val="000000"/>
          <w:sz w:val="28"/>
          <w:lang w:val="en-US" w:eastAsia="zh-CN"/>
        </w:rPr>
        <w:t>60.38</w:t>
      </w:r>
      <w:r>
        <w:rPr>
          <w:rFonts w:hint="eastAsia" w:ascii="Times New Roman" w:hAnsi="Times New Roman" w:eastAsia="方正仿宋_GBK" w:cs="Times New Roman"/>
          <w:color w:val="000000"/>
          <w:sz w:val="28"/>
        </w:rPr>
        <w:t>万元，其中：因公出国（境）费</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万元；公务用车购置及运维费</w:t>
      </w:r>
      <w:r>
        <w:rPr>
          <w:rFonts w:hint="eastAsia" w:eastAsia="方正仿宋_GBK" w:cs="Times New Roman"/>
          <w:color w:val="000000"/>
          <w:sz w:val="28"/>
          <w:lang w:val="en-US" w:eastAsia="zh-CN"/>
        </w:rPr>
        <w:t>59.38</w:t>
      </w:r>
      <w:r>
        <w:rPr>
          <w:rFonts w:hint="eastAsia" w:ascii="Times New Roman" w:hAnsi="Times New Roman" w:eastAsia="方正仿宋_GBK" w:cs="Times New Roman"/>
          <w:color w:val="000000"/>
          <w:sz w:val="28"/>
        </w:rPr>
        <w:t>万元（其中：公务用车购置费</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万元，公务用车运行维护费</w:t>
      </w:r>
      <w:r>
        <w:rPr>
          <w:rFonts w:hint="eastAsia" w:eastAsia="方正仿宋_GBK" w:cs="Times New Roman"/>
          <w:color w:val="000000"/>
          <w:sz w:val="28"/>
          <w:lang w:val="en-US" w:eastAsia="zh-CN"/>
        </w:rPr>
        <w:t>59.38</w:t>
      </w:r>
      <w:r>
        <w:rPr>
          <w:rFonts w:hint="eastAsia" w:ascii="Times New Roman" w:hAnsi="Times New Roman" w:eastAsia="方正仿宋_GBK" w:cs="Times New Roman"/>
          <w:color w:val="000000"/>
          <w:sz w:val="28"/>
        </w:rPr>
        <w:t>万元)；公务接待费</w:t>
      </w:r>
      <w:r>
        <w:rPr>
          <w:rFonts w:hint="eastAsia" w:ascii="Times New Roman" w:hAnsi="Times New Roman" w:eastAsia="方正仿宋_GBK" w:cs="Times New Roman"/>
          <w:color w:val="000000"/>
          <w:sz w:val="28"/>
          <w:lang w:val="en-US" w:eastAsia="zh-CN"/>
        </w:rPr>
        <w:t>1.</w:t>
      </w:r>
      <w:r>
        <w:rPr>
          <w:rFonts w:hint="eastAsia" w:eastAsia="方正仿宋_GBK" w:cs="Times New Roman"/>
          <w:color w:val="000000"/>
          <w:sz w:val="28"/>
          <w:lang w:val="en-US" w:eastAsia="zh-CN"/>
        </w:rPr>
        <w:t>00</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较20</w:t>
      </w:r>
      <w:r>
        <w:rPr>
          <w:rFonts w:hint="eastAsia" w:ascii="Times New Roman" w:hAnsi="Times New Roman" w:eastAsia="方正仿宋_GBK" w:cs="Times New Roman"/>
          <w:color w:val="000000"/>
          <w:sz w:val="28"/>
          <w:lang w:val="en-US" w:eastAsia="zh-CN"/>
        </w:rPr>
        <w:t>2</w:t>
      </w: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年“三公”经费减少</w:t>
      </w:r>
      <w:r>
        <w:rPr>
          <w:rFonts w:hint="eastAsia" w:eastAsia="方正仿宋_GBK" w:cs="Times New Roman"/>
          <w:color w:val="000000"/>
          <w:sz w:val="28"/>
          <w:lang w:val="en-US" w:eastAsia="zh-CN"/>
        </w:rPr>
        <w:t>28.19</w:t>
      </w:r>
      <w:r>
        <w:rPr>
          <w:rFonts w:hint="eastAsia" w:ascii="Times New Roman" w:hAnsi="Times New Roman" w:eastAsia="方正仿宋_GBK" w:cs="Times New Roman"/>
          <w:color w:val="000000"/>
          <w:sz w:val="28"/>
        </w:rPr>
        <w:t>万元，主要是因为因公出国（境）费与20</w:t>
      </w:r>
      <w:r>
        <w:rPr>
          <w:rFonts w:hint="eastAsia" w:ascii="Times New Roman" w:hAnsi="Times New Roman" w:eastAsia="方正仿宋_GBK" w:cs="Times New Roman"/>
          <w:color w:val="000000"/>
          <w:sz w:val="28"/>
          <w:lang w:val="en-US" w:eastAsia="zh-CN"/>
        </w:rPr>
        <w:t>2</w:t>
      </w: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年持平，无增减变化；公务用车购置费与20</w:t>
      </w:r>
      <w:r>
        <w:rPr>
          <w:rFonts w:hint="eastAsia" w:ascii="Times New Roman" w:hAnsi="Times New Roman" w:eastAsia="方正仿宋_GBK" w:cs="Times New Roman"/>
          <w:color w:val="000000"/>
          <w:sz w:val="28"/>
          <w:lang w:val="en-US" w:eastAsia="zh-CN"/>
        </w:rPr>
        <w:t>2</w:t>
      </w: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年持平，无增减变化；公务用车运行维护费</w:t>
      </w:r>
      <w:r>
        <w:rPr>
          <w:rFonts w:hint="eastAsia" w:eastAsia="方正仿宋_GBK" w:cs="Times New Roman"/>
          <w:color w:val="000000"/>
          <w:sz w:val="28"/>
          <w:lang w:eastAsia="zh-CN"/>
        </w:rPr>
        <w:t>较</w:t>
      </w:r>
      <w:r>
        <w:rPr>
          <w:rFonts w:hint="eastAsia" w:ascii="Times New Roman" w:hAnsi="Times New Roman" w:eastAsia="方正仿宋_GBK" w:cs="Times New Roman"/>
          <w:color w:val="000000"/>
          <w:sz w:val="28"/>
        </w:rPr>
        <w:t>20</w:t>
      </w:r>
      <w:r>
        <w:rPr>
          <w:rFonts w:hint="eastAsia" w:ascii="Times New Roman" w:hAnsi="Times New Roman" w:eastAsia="方正仿宋_GBK" w:cs="Times New Roman"/>
          <w:color w:val="000000"/>
          <w:sz w:val="28"/>
          <w:lang w:val="en-US" w:eastAsia="zh-CN"/>
        </w:rPr>
        <w:t>2</w:t>
      </w: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年</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28.12万元，减少原因为机构改革，车辆数量减少，运行费用需求降低</w:t>
      </w:r>
      <w:r>
        <w:rPr>
          <w:rFonts w:hint="eastAsia" w:ascii="Times New Roman" w:hAnsi="Times New Roman" w:eastAsia="方正仿宋_GBK" w:cs="Times New Roman"/>
          <w:color w:val="000000"/>
          <w:sz w:val="28"/>
        </w:rPr>
        <w:t>；公务接待费减少</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lang w:val="en-US" w:eastAsia="zh-CN"/>
        </w:rPr>
        <w:t>.</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lang w:val="en-US" w:eastAsia="zh-CN"/>
        </w:rPr>
        <w:t>7</w:t>
      </w:r>
      <w:r>
        <w:rPr>
          <w:rFonts w:hint="eastAsia" w:ascii="Times New Roman" w:hAnsi="Times New Roman" w:eastAsia="方正仿宋_GBK" w:cs="Times New Roman"/>
          <w:color w:val="000000"/>
          <w:sz w:val="28"/>
        </w:rPr>
        <w:t>万元，减少原因为</w:t>
      </w:r>
      <w:r>
        <w:rPr>
          <w:rFonts w:hint="eastAsia" w:ascii="Times New Roman" w:hAnsi="Times New Roman" w:eastAsia="方正仿宋_GBK" w:cs="Times New Roman"/>
          <w:color w:val="000000"/>
          <w:sz w:val="28"/>
          <w:lang w:eastAsia="zh-CN"/>
        </w:rPr>
        <w:t>严守八项规定减少公款接待</w:t>
      </w:r>
      <w:r>
        <w:rPr>
          <w:rFonts w:hint="eastAsia" w:eastAsia="方正仿宋_GBK" w:cs="Times New Roman"/>
          <w:color w:val="000000"/>
          <w:sz w:val="28"/>
          <w:lang w:eastAsia="zh-CN"/>
        </w:rPr>
        <w:t>开支</w:t>
      </w:r>
      <w:r>
        <w:rPr>
          <w:rFonts w:hint="eastAsia" w:ascii="Times New Roman" w:hAnsi="Times New Roman" w:eastAsia="方正仿宋_GBK" w:cs="Times New Roman"/>
          <w:color w:val="000000"/>
          <w:sz w:val="28"/>
          <w:lang w:eastAsia="zh-CN"/>
        </w:rPr>
        <w:t>。</w:t>
      </w:r>
    </w:p>
    <w:p>
      <w:pPr>
        <w:spacing w:before="10" w:after="10" w:line="360" w:lineRule="auto"/>
        <w:ind w:firstLine="640"/>
        <w:jc w:val="left"/>
        <w:outlineLvl w:val="2"/>
        <w:rPr>
          <w:rFonts w:ascii="黑体" w:hAnsi="黑体" w:eastAsia="黑体" w:cs="黑体"/>
          <w:color w:val="000000"/>
          <w:sz w:val="32"/>
        </w:rPr>
      </w:pPr>
      <w:bookmarkStart w:id="13" w:name="_Toc_3_3_0000000014"/>
    </w:p>
    <w:p>
      <w:pPr>
        <w:spacing w:before="10" w:after="10" w:line="360" w:lineRule="auto"/>
        <w:ind w:firstLine="640"/>
        <w:jc w:val="left"/>
        <w:outlineLvl w:val="2"/>
      </w:pPr>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总体绩效目标</w:t>
      </w:r>
    </w:p>
    <w:p>
      <w:pPr>
        <w:pStyle w:val="23"/>
      </w:pPr>
      <w:r>
        <w:t>霸州市城市管理综合行政执法局按照“三定方案”规定，行使市容环境卫生、城乡规划、城市绿化、工商行政、公安交通、市政公用设施、户外广告、张贴张挂宣传品等管理方面法律、法规、规章规定的全部或部分行政处罚权，并负责对乡镇（区、办）城市管理综合行政执法局工作的指导、检查、督导和协调工作。2022年，我局将紧紧围绕市委、市政府工作部署，充分发挥职能作用，主动担当、主动作为，精准发力、补齐短板，下大力开展城市环境秩序整治、停车设施建设、违法建设拆除、城市管理服务平台改造升级、执法队伍建设等城市管理工作，探索推进网格化管理模式，不断提升城市管理的“精度”和“温度”，推动城市管理水平再上新台阶。</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二、分项绩效目标</w:t>
      </w:r>
    </w:p>
    <w:p>
      <w:pPr>
        <w:pStyle w:val="24"/>
      </w:pPr>
      <w:r>
        <w:t>（一）深入推进城市环境秩序整治</w:t>
      </w:r>
    </w:p>
    <w:p>
      <w:pPr>
        <w:pStyle w:val="24"/>
      </w:pPr>
      <w:r>
        <w:t>绩效目标：一是严格落实“门前三包”，按照“疏堵结合、因地制宜、方便群众”的原则开展疏导整治，开展马路市场退路进店（市）行动，加强临时便民市场、早夜市和流动摊贩管理，全面取缔占道经营、店外经营和占路市场，杜绝市场外溢和脏乱差等现象。二是持续推进户外广告整治，强化重点巡查和全面排查相结合的工作方式，抓好存量治理和增量规范工作，坚持拆除未经批准擅自设置、不符合设计要求、存在安全隐患的户外广告设施，按照城市统一规划设计，提前做好新开道路的规范设计工作，三是全天候巡查，严厉查处违规渣土运输行为，监管工地围挡设置，取缔市区范围内露天烧烤和油烟类餐饮摊点，改善空气质量。</w:t>
      </w:r>
    </w:p>
    <w:p>
      <w:pPr>
        <w:pStyle w:val="24"/>
      </w:pPr>
      <w:r>
        <w:t>绩效指标：市容环境集中整治活动12次以上，整治活动治理效果达标率≥90%，违规和存在安全隐患的户外广告拆除计划完成率100%，违规渣土运输查处率100%，工地围挡设置率100%，市区范围内露天烧烤、油烟类餐饮摊点清理执行率100%。</w:t>
      </w:r>
    </w:p>
    <w:p>
      <w:pPr>
        <w:pStyle w:val="24"/>
      </w:pPr>
      <w:r>
        <w:t>（二）强化对各类违法建设行为的监管和拆除力度</w:t>
      </w:r>
    </w:p>
    <w:p>
      <w:pPr>
        <w:pStyle w:val="24"/>
      </w:pPr>
      <w:r>
        <w:t>绩效目标：建立和完善乡镇执法队伍，积极协调配合各乡镇，建立起乡镇主管、村街监督、执法部门全程参与的立体网格式监管体系。确保规划管理不留天窗、不留空白。强化施工工地管理，施工噪声查处到位。</w:t>
      </w:r>
    </w:p>
    <w:p>
      <w:pPr>
        <w:pStyle w:val="24"/>
      </w:pPr>
      <w:r>
        <w:t>绩效指标：巡查覆盖率100%，违法建筑拆除计划完成率100%，施工噪声查处到位100%。</w:t>
      </w:r>
    </w:p>
    <w:p>
      <w:pPr>
        <w:pStyle w:val="24"/>
      </w:pPr>
      <w:r>
        <w:t>（三）是加快推进城市管理综合服务平台建设。</w:t>
      </w:r>
    </w:p>
    <w:p>
      <w:pPr>
        <w:pStyle w:val="24"/>
      </w:pPr>
      <w:r>
        <w:t>绩效目标：探索实践城市信息模型、数字城管二维码、“互联网+”等应用，建立城市管理快速处置机制，全方位优化城市运行管理”。充分运用大数据、云计算、5G、北斗定位及互联网+等数字科技技术，对城市管理工作进行重新定义和梳理，实现城管智能化、数字化、科技化，扩大市域各类部件编码数量，提升事件处置能力，全面服务市容环境管控工作，为实现“智慧城管”乃至打造“智慧城市”奠定良好基础。</w:t>
      </w:r>
    </w:p>
    <w:p>
      <w:pPr>
        <w:pStyle w:val="24"/>
      </w:pPr>
      <w:r>
        <w:t>绩效指标：数字城管平台覆盖率≥90%，信息沟通及信息反馈效率≥98%，降低投诉率。</w:t>
      </w:r>
    </w:p>
    <w:p>
      <w:pPr>
        <w:pStyle w:val="24"/>
      </w:pPr>
      <w:r>
        <w:t>（四）持续推进停车设施建设，强化对各类违章停车行为的监督处罚力度</w:t>
      </w:r>
    </w:p>
    <w:p>
      <w:pPr>
        <w:pStyle w:val="24"/>
      </w:pPr>
      <w:r>
        <w:t>绩效目标：加强对主要道路、重点区域便道停车秩序管理工作，一方面拆除擅自设置的停车桩和隔离设施，另一方面拓展施划公共停车位1000个，缓解停车难问题。同时积极探索停车管理“一张图”，推进智慧停车工程，掌握“潮汐”停车规律，更好的提供便捷高效的停车环境。规范各类社会经营停车场的规范化管理，整合全市各类停车资源，统筹提升城区停车能力。</w:t>
      </w:r>
    </w:p>
    <w:p>
      <w:pPr>
        <w:pStyle w:val="24"/>
      </w:pPr>
      <w:r>
        <w:t>绩效指标：施划公共停车位1000个，规范违章停车行为20000件。</w:t>
      </w:r>
    </w:p>
    <w:p>
      <w:pPr>
        <w:pStyle w:val="24"/>
      </w:pPr>
      <w:r>
        <w:t>（五）加强执法队伍建设，提高执法能力和水平</w:t>
      </w:r>
    </w:p>
    <w:p>
      <w:pPr>
        <w:pStyle w:val="24"/>
      </w:pPr>
      <w:r>
        <w:t>绩效目标：以党组理论学习中心组、三会一课、主题党日等为抓手，多角度全方位开展法律法规、党规党纪、政治理论知识、重要讲话以及城管业务知识的学习。同时，围绕城管实际扎实开展“懂业务、明职责、通律法、重操作”的素质提升培训。开展定期考核，随机开展模拟演练、闭卷考试、快问快答，实行积分评比制度，打牢一线执法人员的业务能力，调动全局人员的工作积极性。</w:t>
      </w:r>
    </w:p>
    <w:p>
      <w:pPr>
        <w:pStyle w:val="24"/>
      </w:pPr>
      <w:r>
        <w:t>绩效指标：人员培训计划：有，执法人员持证率：上升，人员培训覆盖率100%。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三、工作保障措施</w:t>
      </w:r>
    </w:p>
    <w:p>
      <w:pPr>
        <w:pStyle w:val="25"/>
      </w:pPr>
      <w:r>
        <w:t>（一）完善制度建设。按照上级安排和部署，结合我局工作职能和实际，建立健全预算绩效管理制度，设立绩效目标管理工作领导小组，由局主要领导担任组长、主管副局长担任副组长、相关股室负责人为成员，并明确职责分工，建立工作保障制度，保障绩效工作落实到位，制定资金管理办法，确保资金严格按预算执行。</w:t>
      </w:r>
    </w:p>
    <w:p>
      <w:pPr>
        <w:pStyle w:val="25"/>
      </w:pPr>
      <w:r>
        <w:t>（二）加强支出管理。通过优化支出结构、编细编实预算、加快履行政府采购手续、尽快启动项目、监管项目实施进度和质量，及时支付资金。</w:t>
      </w:r>
    </w:p>
    <w:p>
      <w:pPr>
        <w:pStyle w:val="25"/>
      </w:pPr>
      <w:r>
        <w:t>（三）强化绩效运行监控。开展绩效运行监控，及时排查风险隐患，定期总结项目进展情况，组织专门人员对各项目实施、进展、质控、风控等情况进行实地核查，发现问题及时采取措施，确保绩效目标如期保质实现。</w:t>
      </w:r>
    </w:p>
    <w:p>
      <w:pPr>
        <w:pStyle w:val="25"/>
      </w:pPr>
      <w:r>
        <w:t>（四）做好绩效自评。开展上年度部门预算绩效自评和重点评价工作，对评价中发现的问题及时整改，调整优化支出结构，提高财政资金使用效益。</w:t>
      </w:r>
    </w:p>
    <w:p>
      <w:pPr>
        <w:pStyle w:val="25"/>
      </w:pPr>
      <w:r>
        <w:t>（五）规范财务资产管理。完善财务管理制度，严格审批程序，建立健全资产核查、清查机制。加强对固定资产的登记、使用和报废处置管理，对资产定时进行核查、清查，保障资产安全，严防资产损失、流失。</w:t>
      </w:r>
    </w:p>
    <w:p>
      <w:pPr>
        <w:pStyle w:val="2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（七）加强宣传培训调研。加强人员培训，提高本部门职工业务素质；加强调研，提出优化财政资金配置、提高资金使用效益的建议；加大宣传力度，强化预算绩效管理意识，促进预算绩效管理水平进一步提升。</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sectPr>
          <w:pgSz w:w="16840" w:h="11900" w:orient="landscape"/>
          <w:pgMar w:top="1361" w:right="1020" w:bottom="1134" w:left="1020" w:header="720" w:footer="720" w:gutter="0"/>
        </w:sectPr>
      </w:pPr>
      <w:r>
        <w:rPr>
          <w:rFonts w:ascii="方正楷体_GBK" w:hAnsi="方正楷体_GBK" w:eastAsia="方正楷体_GBK" w:cs="方正楷体_GBK"/>
          <w:b/>
          <w:color w:val="000000"/>
          <w:sz w:val="32"/>
        </w:rPr>
        <w:t>第二部分   预算项目绩效目标</w:t>
      </w:r>
    </w:p>
    <w:p>
      <w:pPr>
        <w:spacing w:before="0" w:after="0"/>
        <w:ind w:firstLine="560"/>
        <w:jc w:val="left"/>
        <w:outlineLvl w:val="9"/>
      </w:pPr>
      <w:r>
        <w:rPr>
          <w:rFonts w:ascii="方正仿宋_GBK" w:hAnsi="方正仿宋_GBK" w:eastAsia="方正仿宋_GBK" w:cs="方正仿宋_GBK"/>
          <w:b/>
          <w:color w:val="000000"/>
          <w:sz w:val="28"/>
        </w:rPr>
        <w:t>1、城市出入口桥体设置公益广告经费绩效目标表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1.京德高速跨112国道高速桥、京德高速跨迎宾东道高速桥、荣乌新线高速跨106国道高速桥六处共计404平米，采用墙体彩绘的形式设置公益广告，达到公益宣传效果并保障安全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设置桥体广告数量</w:t>
            </w:r>
          </w:p>
        </w:tc>
        <w:tc>
          <w:tcPr>
            <w:tcW w:w="2835" w:type="dxa"/>
            <w:vAlign w:val="center"/>
          </w:tcPr>
          <w:p>
            <w:pPr>
              <w:pStyle w:val="14"/>
            </w:pPr>
            <w:r>
              <w:t>城市出入口设置桥体广告数量</w:t>
            </w:r>
          </w:p>
        </w:tc>
        <w:tc>
          <w:tcPr>
            <w:tcW w:w="2551" w:type="dxa"/>
            <w:vAlign w:val="center"/>
          </w:tcPr>
          <w:p>
            <w:pPr>
              <w:pStyle w:val="14"/>
            </w:pPr>
            <w:r>
              <w:t>6处</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效果合格率</w:t>
            </w:r>
          </w:p>
        </w:tc>
        <w:tc>
          <w:tcPr>
            <w:tcW w:w="2835" w:type="dxa"/>
            <w:vAlign w:val="center"/>
          </w:tcPr>
          <w:p>
            <w:pPr>
              <w:pStyle w:val="14"/>
            </w:pPr>
            <w:r>
              <w:t>效果合格数量占设置数量的比率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桥体广告制作完成时间</w:t>
            </w:r>
          </w:p>
        </w:tc>
        <w:tc>
          <w:tcPr>
            <w:tcW w:w="2835" w:type="dxa"/>
            <w:vAlign w:val="center"/>
          </w:tcPr>
          <w:p>
            <w:pPr>
              <w:pStyle w:val="14"/>
            </w:pPr>
            <w:r>
              <w:t>城市出入口设置桥体广告设置完毕时间</w:t>
            </w:r>
          </w:p>
        </w:tc>
        <w:tc>
          <w:tcPr>
            <w:tcW w:w="2551" w:type="dxa"/>
            <w:vAlign w:val="center"/>
          </w:tcPr>
          <w:p>
            <w:pPr>
              <w:pStyle w:val="14"/>
            </w:pPr>
            <w:r>
              <w:t>≤3月份</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桥体广告制作预算控制数</w:t>
            </w:r>
          </w:p>
        </w:tc>
        <w:tc>
          <w:tcPr>
            <w:tcW w:w="2835" w:type="dxa"/>
            <w:vAlign w:val="center"/>
          </w:tcPr>
          <w:p>
            <w:pPr>
              <w:pStyle w:val="14"/>
            </w:pPr>
            <w:r>
              <w:t>城市出入口设置桥体广告设置预算控制数</w:t>
            </w:r>
          </w:p>
        </w:tc>
        <w:tc>
          <w:tcPr>
            <w:tcW w:w="2551" w:type="dxa"/>
            <w:vAlign w:val="center"/>
          </w:tcPr>
          <w:p>
            <w:pPr>
              <w:pStyle w:val="14"/>
            </w:pPr>
            <w:r>
              <w:t>≤8.08万元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过往车辆行人可视率</w:t>
            </w:r>
          </w:p>
        </w:tc>
        <w:tc>
          <w:tcPr>
            <w:tcW w:w="2835" w:type="dxa"/>
            <w:vAlign w:val="center"/>
          </w:tcPr>
          <w:p>
            <w:pPr>
              <w:pStyle w:val="14"/>
            </w:pPr>
            <w:r>
              <w:t>营造“热爱霸州、建设霸州、奉献霸州”的浓厚氛围</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公益广告设置效果</w:t>
            </w:r>
          </w:p>
        </w:tc>
        <w:tc>
          <w:tcPr>
            <w:tcW w:w="2835" w:type="dxa"/>
            <w:vAlign w:val="center"/>
          </w:tcPr>
          <w:p>
            <w:pPr>
              <w:pStyle w:val="14"/>
            </w:pPr>
            <w:r>
              <w:t>公益广告宣传效果保障安全</w:t>
            </w:r>
          </w:p>
        </w:tc>
        <w:tc>
          <w:tcPr>
            <w:tcW w:w="2551" w:type="dxa"/>
            <w:vAlign w:val="center"/>
          </w:tcPr>
          <w:p>
            <w:pPr>
              <w:pStyle w:val="14"/>
            </w:pPr>
            <w:r>
              <w:t>效果显著</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上级部门对工作落实情况满意度</w:t>
            </w:r>
          </w:p>
        </w:tc>
        <w:tc>
          <w:tcPr>
            <w:tcW w:w="2835" w:type="dxa"/>
            <w:vAlign w:val="center"/>
          </w:tcPr>
          <w:p>
            <w:pPr>
              <w:pStyle w:val="14"/>
            </w:pPr>
            <w:r>
              <w:t>市委宣传部对交办工作落实情况的满意程度</w:t>
            </w:r>
          </w:p>
        </w:tc>
        <w:tc>
          <w:tcPr>
            <w:tcW w:w="2551" w:type="dxa"/>
            <w:vAlign w:val="center"/>
          </w:tcPr>
          <w:p>
            <w:pPr>
              <w:pStyle w:val="14"/>
            </w:pPr>
            <w:r>
              <w:t>100%</w:t>
            </w:r>
          </w:p>
        </w:tc>
        <w:tc>
          <w:tcPr>
            <w:tcW w:w="2268" w:type="dxa"/>
            <w:vAlign w:val="center"/>
          </w:tcPr>
          <w:p>
            <w:pPr>
              <w:pStyle w:val="14"/>
            </w:pPr>
            <w:r>
              <w:t>验收结果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2、空调购置经费绩效目标表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1.为解决局内现有空调老化严重、故障频出的问题，本项目计划购置更新局内57台空调，满足人员办公需求，改善办公环境，提高办公效率。减少维修成本.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空调数量</w:t>
            </w:r>
          </w:p>
        </w:tc>
        <w:tc>
          <w:tcPr>
            <w:tcW w:w="2835" w:type="dxa"/>
            <w:vAlign w:val="center"/>
          </w:tcPr>
          <w:p>
            <w:pPr>
              <w:pStyle w:val="14"/>
            </w:pPr>
            <w:r>
              <w:t>购置空调数量</w:t>
            </w:r>
          </w:p>
        </w:tc>
        <w:tc>
          <w:tcPr>
            <w:tcW w:w="2551" w:type="dxa"/>
            <w:vAlign w:val="center"/>
          </w:tcPr>
          <w:p>
            <w:pPr>
              <w:pStyle w:val="14"/>
            </w:pPr>
            <w:r>
              <w:t>57台</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质量合格率</w:t>
            </w:r>
          </w:p>
        </w:tc>
        <w:tc>
          <w:tcPr>
            <w:tcW w:w="2835" w:type="dxa"/>
            <w:vAlign w:val="center"/>
          </w:tcPr>
          <w:p>
            <w:pPr>
              <w:pStyle w:val="14"/>
            </w:pPr>
            <w:r>
              <w:t>质量合格空调数量占购置空调数量的比率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空调报修降低率</w:t>
            </w:r>
          </w:p>
        </w:tc>
        <w:tc>
          <w:tcPr>
            <w:tcW w:w="2835" w:type="dxa"/>
            <w:vAlign w:val="center"/>
          </w:tcPr>
          <w:p>
            <w:pPr>
              <w:pStyle w:val="14"/>
            </w:pPr>
            <w:r>
              <w:t>更新后空调报修减少次数与同期报修次数的比</w:t>
            </w:r>
          </w:p>
        </w:tc>
        <w:tc>
          <w:tcPr>
            <w:tcW w:w="2551" w:type="dxa"/>
            <w:vAlign w:val="center"/>
          </w:tcPr>
          <w:p>
            <w:pPr>
              <w:pStyle w:val="14"/>
            </w:pPr>
            <w:r>
              <w:t>≥90%</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空调安装工作完成时间</w:t>
            </w:r>
          </w:p>
        </w:tc>
        <w:tc>
          <w:tcPr>
            <w:tcW w:w="2835" w:type="dxa"/>
            <w:vAlign w:val="center"/>
          </w:tcPr>
          <w:p>
            <w:pPr>
              <w:pStyle w:val="14"/>
            </w:pPr>
            <w:r>
              <w:t>空调安装工作完成时间</w:t>
            </w:r>
          </w:p>
        </w:tc>
        <w:tc>
          <w:tcPr>
            <w:tcW w:w="2551" w:type="dxa"/>
            <w:vAlign w:val="center"/>
          </w:tcPr>
          <w:p>
            <w:pPr>
              <w:pStyle w:val="14"/>
            </w:pPr>
            <w:r>
              <w:t>≤6月份</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空调购置预算控制数</w:t>
            </w:r>
          </w:p>
        </w:tc>
        <w:tc>
          <w:tcPr>
            <w:tcW w:w="2835" w:type="dxa"/>
            <w:vAlign w:val="center"/>
          </w:tcPr>
          <w:p>
            <w:pPr>
              <w:pStyle w:val="14"/>
            </w:pPr>
            <w:r>
              <w:t>空调购置预算控制数</w:t>
            </w:r>
          </w:p>
        </w:tc>
        <w:tc>
          <w:tcPr>
            <w:tcW w:w="2551" w:type="dxa"/>
            <w:vAlign w:val="center"/>
          </w:tcPr>
          <w:p>
            <w:pPr>
              <w:pStyle w:val="14"/>
            </w:pPr>
            <w:r>
              <w:t>≤10万元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办公环境改善</w:t>
            </w:r>
          </w:p>
        </w:tc>
        <w:tc>
          <w:tcPr>
            <w:tcW w:w="2835" w:type="dxa"/>
            <w:vAlign w:val="center"/>
          </w:tcPr>
          <w:p>
            <w:pPr>
              <w:pStyle w:val="14"/>
            </w:pPr>
            <w:r>
              <w:t>持续改善办公环境时间</w:t>
            </w:r>
          </w:p>
        </w:tc>
        <w:tc>
          <w:tcPr>
            <w:tcW w:w="2551" w:type="dxa"/>
            <w:vAlign w:val="center"/>
          </w:tcPr>
          <w:p>
            <w:pPr>
              <w:pStyle w:val="14"/>
            </w:pPr>
            <w:r>
              <w:t>≥6年</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2835" w:type="dxa"/>
            <w:vAlign w:val="center"/>
          </w:tcPr>
          <w:p>
            <w:pPr>
              <w:pStyle w:val="14"/>
            </w:pPr>
            <w:r>
              <w:t>工作人员对更新后空调的满意程度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3、执法辅助人员巡查工作经费绩效目标表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1.项目资金用于支付单位招录的67名执法辅助人员所增加的执法用品及水、电、维修等办公费用，保障单位正常运转，通过聘请67名执勤人员，补充单位执法力量，提高单位执法服务效率。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执勤人数</w:t>
            </w:r>
          </w:p>
        </w:tc>
        <w:tc>
          <w:tcPr>
            <w:tcW w:w="2835" w:type="dxa"/>
            <w:vAlign w:val="center"/>
          </w:tcPr>
          <w:p>
            <w:pPr>
              <w:pStyle w:val="14"/>
            </w:pPr>
            <w:r>
              <w:t>外聘执勤人数</w:t>
            </w:r>
          </w:p>
        </w:tc>
        <w:tc>
          <w:tcPr>
            <w:tcW w:w="2551" w:type="dxa"/>
            <w:vAlign w:val="center"/>
          </w:tcPr>
          <w:p>
            <w:pPr>
              <w:pStyle w:val="14"/>
            </w:pPr>
            <w:r>
              <w:t>67人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出勤率</w:t>
            </w:r>
          </w:p>
        </w:tc>
        <w:tc>
          <w:tcPr>
            <w:tcW w:w="2835" w:type="dxa"/>
            <w:vAlign w:val="center"/>
          </w:tcPr>
          <w:p>
            <w:pPr>
              <w:pStyle w:val="14"/>
            </w:pPr>
            <w:r>
              <w:t>正常出勤人数与全面应出勤人数的比</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费用支付时间</w:t>
            </w:r>
          </w:p>
        </w:tc>
        <w:tc>
          <w:tcPr>
            <w:tcW w:w="2835" w:type="dxa"/>
            <w:vAlign w:val="center"/>
          </w:tcPr>
          <w:p>
            <w:pPr>
              <w:pStyle w:val="14"/>
            </w:pPr>
            <w:r>
              <w:t>在规定时间内支付各项费用</w:t>
            </w:r>
          </w:p>
        </w:tc>
        <w:tc>
          <w:tcPr>
            <w:tcW w:w="2551" w:type="dxa"/>
            <w:vAlign w:val="center"/>
          </w:tcPr>
          <w:p>
            <w:pPr>
              <w:pStyle w:val="14"/>
            </w:pPr>
            <w:r>
              <w:t>≤10月份</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日常经费</w:t>
            </w:r>
          </w:p>
        </w:tc>
        <w:tc>
          <w:tcPr>
            <w:tcW w:w="2835" w:type="dxa"/>
            <w:vAlign w:val="center"/>
          </w:tcPr>
          <w:p>
            <w:pPr>
              <w:pStyle w:val="14"/>
            </w:pPr>
            <w:r>
              <w:t>保障执法工作高效实施</w:t>
            </w:r>
          </w:p>
        </w:tc>
        <w:tc>
          <w:tcPr>
            <w:tcW w:w="2551" w:type="dxa"/>
            <w:vAlign w:val="center"/>
          </w:tcPr>
          <w:p>
            <w:pPr>
              <w:pStyle w:val="14"/>
            </w:pPr>
            <w:r>
              <w:t>≤16.5万元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辅助完成案件数量 </w:t>
            </w:r>
          </w:p>
        </w:tc>
        <w:tc>
          <w:tcPr>
            <w:tcW w:w="2835" w:type="dxa"/>
            <w:vAlign w:val="center"/>
          </w:tcPr>
          <w:p>
            <w:pPr>
              <w:pStyle w:val="14"/>
            </w:pPr>
            <w:r>
              <w:t>全年辅助完成案件数量</w:t>
            </w:r>
          </w:p>
        </w:tc>
        <w:tc>
          <w:tcPr>
            <w:tcW w:w="2551" w:type="dxa"/>
            <w:vAlign w:val="center"/>
          </w:tcPr>
          <w:p>
            <w:pPr>
              <w:pStyle w:val="14"/>
            </w:pPr>
            <w:r>
              <w:t>≥3000件</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执法人员满意度调查</w:t>
            </w:r>
          </w:p>
        </w:tc>
        <w:tc>
          <w:tcPr>
            <w:tcW w:w="2835" w:type="dxa"/>
            <w:vAlign w:val="center"/>
          </w:tcPr>
          <w:p>
            <w:pPr>
              <w:pStyle w:val="14"/>
            </w:pPr>
            <w:r>
              <w:t>执法人员对辅助人员满意数量占被调查人数的比例。</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4、执法记录仪数据采集站项目经费绩效目标表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1.通过购置执法记录仪数据采集站解决执法记录仪数据存储问题，使执法记录仪数据采集有效保存率达到100%，大幅提高行政执法效率，有效规范执法行为.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购置数量</w:t>
            </w:r>
          </w:p>
        </w:tc>
        <w:tc>
          <w:tcPr>
            <w:tcW w:w="2835" w:type="dxa"/>
            <w:vAlign w:val="center"/>
          </w:tcPr>
          <w:p>
            <w:pPr>
              <w:pStyle w:val="14"/>
            </w:pPr>
            <w:r>
              <w:t>采购执法记录仪数据采集站数量</w:t>
            </w:r>
          </w:p>
        </w:tc>
        <w:tc>
          <w:tcPr>
            <w:tcW w:w="2551" w:type="dxa"/>
            <w:vAlign w:val="center"/>
          </w:tcPr>
          <w:p>
            <w:pPr>
              <w:pStyle w:val="14"/>
            </w:pPr>
            <w:r>
              <w:t>5台</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质量合格率</w:t>
            </w:r>
          </w:p>
        </w:tc>
        <w:tc>
          <w:tcPr>
            <w:tcW w:w="2835" w:type="dxa"/>
            <w:vAlign w:val="center"/>
          </w:tcPr>
          <w:p>
            <w:pPr>
              <w:pStyle w:val="14"/>
            </w:pPr>
            <w:r>
              <w:t>质量合格数量占购置数量的比率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安装投入使用时间</w:t>
            </w:r>
          </w:p>
        </w:tc>
        <w:tc>
          <w:tcPr>
            <w:tcW w:w="2835" w:type="dxa"/>
            <w:vAlign w:val="center"/>
          </w:tcPr>
          <w:p>
            <w:pPr>
              <w:pStyle w:val="14"/>
            </w:pPr>
            <w:r>
              <w:t>执法记录仪数据采集站安装投入使用时间</w:t>
            </w:r>
          </w:p>
        </w:tc>
        <w:tc>
          <w:tcPr>
            <w:tcW w:w="2551" w:type="dxa"/>
            <w:vAlign w:val="center"/>
          </w:tcPr>
          <w:p>
            <w:pPr>
              <w:pStyle w:val="14"/>
            </w:pPr>
            <w:r>
              <w:t>≤3月份</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购置预算总控制数</w:t>
            </w:r>
          </w:p>
        </w:tc>
        <w:tc>
          <w:tcPr>
            <w:tcW w:w="2835" w:type="dxa"/>
            <w:vAlign w:val="center"/>
          </w:tcPr>
          <w:p>
            <w:pPr>
              <w:pStyle w:val="14"/>
            </w:pPr>
            <w:r>
              <w:t>执法记录仪数据采集站购置预算控制数</w:t>
            </w:r>
          </w:p>
        </w:tc>
        <w:tc>
          <w:tcPr>
            <w:tcW w:w="2551" w:type="dxa"/>
            <w:vAlign w:val="center"/>
          </w:tcPr>
          <w:p>
            <w:pPr>
              <w:pStyle w:val="14"/>
            </w:pPr>
            <w:r>
              <w:t>≤9.6万元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执法记录仪数据保存率</w:t>
            </w:r>
          </w:p>
        </w:tc>
        <w:tc>
          <w:tcPr>
            <w:tcW w:w="2835" w:type="dxa"/>
            <w:vAlign w:val="center"/>
          </w:tcPr>
          <w:p>
            <w:pPr>
              <w:pStyle w:val="14"/>
            </w:pPr>
            <w:r>
              <w:t>购置后执法记录仪数据采集有效保存率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执法规范化效果</w:t>
            </w:r>
          </w:p>
        </w:tc>
        <w:tc>
          <w:tcPr>
            <w:tcW w:w="2835" w:type="dxa"/>
            <w:vAlign w:val="center"/>
          </w:tcPr>
          <w:p>
            <w:pPr>
              <w:pStyle w:val="14"/>
            </w:pPr>
            <w:r>
              <w:t>城管执法规范化有效提升</w:t>
            </w:r>
          </w:p>
        </w:tc>
        <w:tc>
          <w:tcPr>
            <w:tcW w:w="2551" w:type="dxa"/>
            <w:vAlign w:val="center"/>
          </w:tcPr>
          <w:p>
            <w:pPr>
              <w:pStyle w:val="14"/>
            </w:pPr>
            <w:r>
              <w:t>1效果显著</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2835" w:type="dxa"/>
            <w:vAlign w:val="center"/>
          </w:tcPr>
          <w:p>
            <w:pPr>
              <w:pStyle w:val="14"/>
            </w:pPr>
            <w:r>
              <w:t>工作人员对执法记录仪数据采集站使用的满意程度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5、执法停车保管费用绩效目标表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1.通过委托第三方保管暂扣车辆、物品，解决我局由于场地限制，无处安置暂扣车辆、物品的问题，保障执法工作顺利开展。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提供场地面积</w:t>
            </w:r>
          </w:p>
        </w:tc>
        <w:tc>
          <w:tcPr>
            <w:tcW w:w="2835" w:type="dxa"/>
            <w:vAlign w:val="center"/>
          </w:tcPr>
          <w:p>
            <w:pPr>
              <w:pStyle w:val="14"/>
            </w:pPr>
            <w:r>
              <w:t>保障需求提供保管场地面积数量</w:t>
            </w:r>
          </w:p>
        </w:tc>
        <w:tc>
          <w:tcPr>
            <w:tcW w:w="2551" w:type="dxa"/>
            <w:vAlign w:val="center"/>
          </w:tcPr>
          <w:p>
            <w:pPr>
              <w:pStyle w:val="14"/>
            </w:pPr>
            <w:r>
              <w:t>5000㎡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暂扣物品完好率</w:t>
            </w:r>
          </w:p>
        </w:tc>
        <w:tc>
          <w:tcPr>
            <w:tcW w:w="2835" w:type="dxa"/>
            <w:vAlign w:val="center"/>
          </w:tcPr>
          <w:p>
            <w:pPr>
              <w:pStyle w:val="14"/>
            </w:pPr>
            <w:r>
              <w:t>车辆、物品完好案件数占总涉案件数的比率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费用支付时间</w:t>
            </w:r>
          </w:p>
        </w:tc>
        <w:tc>
          <w:tcPr>
            <w:tcW w:w="2835" w:type="dxa"/>
            <w:vAlign w:val="center"/>
          </w:tcPr>
          <w:p>
            <w:pPr>
              <w:pStyle w:val="14"/>
            </w:pPr>
            <w:r>
              <w:t>费用支付时间</w:t>
            </w:r>
          </w:p>
        </w:tc>
        <w:tc>
          <w:tcPr>
            <w:tcW w:w="2551" w:type="dxa"/>
            <w:vAlign w:val="center"/>
          </w:tcPr>
          <w:p>
            <w:pPr>
              <w:pStyle w:val="14"/>
            </w:pPr>
            <w:r>
              <w:t>1按合同约定支付</w:t>
            </w:r>
          </w:p>
        </w:tc>
        <w:tc>
          <w:tcPr>
            <w:tcW w:w="2268" w:type="dxa"/>
            <w:vAlign w:val="center"/>
          </w:tcPr>
          <w:p>
            <w:pPr>
              <w:pStyle w:val="14"/>
            </w:pPr>
            <w: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保管费用控制数</w:t>
            </w:r>
          </w:p>
        </w:tc>
        <w:tc>
          <w:tcPr>
            <w:tcW w:w="2835" w:type="dxa"/>
            <w:vAlign w:val="center"/>
          </w:tcPr>
          <w:p>
            <w:pPr>
              <w:pStyle w:val="14"/>
            </w:pPr>
            <w:r>
              <w:t>保管费用预算控制数</w:t>
            </w:r>
          </w:p>
        </w:tc>
        <w:tc>
          <w:tcPr>
            <w:tcW w:w="2551" w:type="dxa"/>
            <w:vAlign w:val="center"/>
          </w:tcPr>
          <w:p>
            <w:pPr>
              <w:pStyle w:val="14"/>
            </w:pPr>
            <w:r>
              <w:t>≤23万元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涉及案件数</w:t>
            </w:r>
          </w:p>
        </w:tc>
        <w:tc>
          <w:tcPr>
            <w:tcW w:w="2835" w:type="dxa"/>
            <w:vAlign w:val="center"/>
          </w:tcPr>
          <w:p>
            <w:pPr>
              <w:pStyle w:val="14"/>
            </w:pPr>
            <w:r>
              <w:t>涉及查扣车辆、物品的案件数</w:t>
            </w:r>
          </w:p>
        </w:tc>
        <w:tc>
          <w:tcPr>
            <w:tcW w:w="2551" w:type="dxa"/>
            <w:vAlign w:val="center"/>
          </w:tcPr>
          <w:p>
            <w:pPr>
              <w:pStyle w:val="14"/>
            </w:pPr>
            <w:r>
              <w:t>≥1500件</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执法工作开展情况</w:t>
            </w:r>
          </w:p>
        </w:tc>
        <w:tc>
          <w:tcPr>
            <w:tcW w:w="2835" w:type="dxa"/>
            <w:vAlign w:val="center"/>
          </w:tcPr>
          <w:p>
            <w:pPr>
              <w:pStyle w:val="14"/>
            </w:pPr>
            <w:r>
              <w:t>保障执法工作顺利开展</w:t>
            </w:r>
          </w:p>
        </w:tc>
        <w:tc>
          <w:tcPr>
            <w:tcW w:w="2551" w:type="dxa"/>
            <w:vAlign w:val="center"/>
          </w:tcPr>
          <w:p>
            <w:pPr>
              <w:pStyle w:val="14"/>
            </w:pPr>
            <w:r>
              <w:t>1正常</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执法人员满意度</w:t>
            </w:r>
          </w:p>
        </w:tc>
        <w:tc>
          <w:tcPr>
            <w:tcW w:w="2835" w:type="dxa"/>
            <w:vAlign w:val="center"/>
          </w:tcPr>
          <w:p>
            <w:pPr>
              <w:pStyle w:val="14"/>
            </w:pPr>
            <w:r>
              <w:t>执法人员对提供保管服务的满意程度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6、拆除违章建筑及广告牌匾工作经费绩效目标表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1.拆除违建5千平米，有效打击各类违法建设行为</w:t>
            </w:r>
          </w:p>
          <w:p>
            <w:pPr>
              <w:pStyle w:val="14"/>
            </w:pPr>
            <w:r>
              <w:t>2.拆除违规牌匾300处，进一步规范我市广告牌匾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违建拆除数量</w:t>
            </w:r>
          </w:p>
        </w:tc>
        <w:tc>
          <w:tcPr>
            <w:tcW w:w="2835" w:type="dxa"/>
            <w:vAlign w:val="center"/>
          </w:tcPr>
          <w:p>
            <w:pPr>
              <w:pStyle w:val="14"/>
            </w:pPr>
            <w:r>
              <w:t>拆除违章建筑数量</w:t>
            </w:r>
          </w:p>
        </w:tc>
        <w:tc>
          <w:tcPr>
            <w:tcW w:w="2551" w:type="dxa"/>
            <w:vAlign w:val="center"/>
          </w:tcPr>
          <w:p>
            <w:pPr>
              <w:pStyle w:val="14"/>
            </w:pPr>
            <w:r>
              <w:t>≥5000平方米</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违规牌匾拆除数量</w:t>
            </w:r>
          </w:p>
        </w:tc>
        <w:tc>
          <w:tcPr>
            <w:tcW w:w="2835" w:type="dxa"/>
            <w:vAlign w:val="center"/>
          </w:tcPr>
          <w:p>
            <w:pPr>
              <w:pStyle w:val="14"/>
            </w:pPr>
            <w:r>
              <w:t>拆除违规牌匾数量</w:t>
            </w:r>
          </w:p>
        </w:tc>
        <w:tc>
          <w:tcPr>
            <w:tcW w:w="2551" w:type="dxa"/>
            <w:vAlign w:val="center"/>
          </w:tcPr>
          <w:p>
            <w:pPr>
              <w:pStyle w:val="14"/>
            </w:pPr>
            <w:r>
              <w:t>≥300处</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拆除工作质量合格率</w:t>
            </w:r>
          </w:p>
        </w:tc>
        <w:tc>
          <w:tcPr>
            <w:tcW w:w="2835" w:type="dxa"/>
            <w:vAlign w:val="center"/>
          </w:tcPr>
          <w:p>
            <w:pPr>
              <w:pStyle w:val="14"/>
            </w:pPr>
            <w:r>
              <w:t>拆除违建、牌匾的工作质量合格率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拆除工作完成时间</w:t>
            </w:r>
          </w:p>
        </w:tc>
        <w:tc>
          <w:tcPr>
            <w:tcW w:w="2835" w:type="dxa"/>
            <w:vAlign w:val="center"/>
          </w:tcPr>
          <w:p>
            <w:pPr>
              <w:pStyle w:val="14"/>
            </w:pPr>
            <w:r>
              <w:t>拆除工作全部完成时间</w:t>
            </w:r>
          </w:p>
        </w:tc>
        <w:tc>
          <w:tcPr>
            <w:tcW w:w="2551" w:type="dxa"/>
            <w:vAlign w:val="center"/>
          </w:tcPr>
          <w:p>
            <w:pPr>
              <w:pStyle w:val="14"/>
            </w:pPr>
            <w:r>
              <w:t>≤2月份</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拆除费用预算控制数</w:t>
            </w:r>
          </w:p>
        </w:tc>
        <w:tc>
          <w:tcPr>
            <w:tcW w:w="2835" w:type="dxa"/>
            <w:vAlign w:val="center"/>
          </w:tcPr>
          <w:p>
            <w:pPr>
              <w:pStyle w:val="14"/>
            </w:pPr>
            <w:r>
              <w:t>拆除费用预算控制数</w:t>
            </w:r>
          </w:p>
        </w:tc>
        <w:tc>
          <w:tcPr>
            <w:tcW w:w="2551" w:type="dxa"/>
            <w:vAlign w:val="center"/>
          </w:tcPr>
          <w:p>
            <w:pPr>
              <w:pStyle w:val="14"/>
            </w:pPr>
            <w:r>
              <w:t>≤87.07万元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牌匾设置提升效果</w:t>
            </w:r>
          </w:p>
        </w:tc>
        <w:tc>
          <w:tcPr>
            <w:tcW w:w="2835" w:type="dxa"/>
            <w:vAlign w:val="center"/>
          </w:tcPr>
          <w:p>
            <w:pPr>
              <w:pStyle w:val="14"/>
            </w:pPr>
            <w:r>
              <w:t>牌匾设置提升效果</w:t>
            </w:r>
          </w:p>
        </w:tc>
        <w:tc>
          <w:tcPr>
            <w:tcW w:w="2551" w:type="dxa"/>
            <w:vAlign w:val="center"/>
          </w:tcPr>
          <w:p>
            <w:pPr>
              <w:pStyle w:val="14"/>
            </w:pPr>
            <w:r>
              <w:t>提升</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拆违对违法、违规行为的影响</w:t>
            </w:r>
          </w:p>
        </w:tc>
        <w:tc>
          <w:tcPr>
            <w:tcW w:w="2835" w:type="dxa"/>
            <w:vAlign w:val="center"/>
          </w:tcPr>
          <w:p>
            <w:pPr>
              <w:pStyle w:val="14"/>
            </w:pPr>
            <w:r>
              <w:t>拆违对违法、违规行为的持续震慑作用时间</w:t>
            </w:r>
          </w:p>
        </w:tc>
        <w:tc>
          <w:tcPr>
            <w:tcW w:w="2551" w:type="dxa"/>
            <w:vAlign w:val="center"/>
          </w:tcPr>
          <w:p>
            <w:pPr>
              <w:pStyle w:val="14"/>
            </w:pPr>
            <w:r>
              <w:t>≥1年</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周围居民满意度调查</w:t>
            </w:r>
          </w:p>
        </w:tc>
        <w:tc>
          <w:tcPr>
            <w:tcW w:w="2835" w:type="dxa"/>
            <w:vAlign w:val="center"/>
          </w:tcPr>
          <w:p>
            <w:pPr>
              <w:pStyle w:val="14"/>
            </w:pPr>
            <w:r>
              <w:t>周围居民调查中，满意和较满意的人数占全部调查人数的比率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7、冯庄集贸市场修复工程资金绩效目标表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1.通过对市场进行修复，摊贩重新进入市场经营，改善交通秩序与市容环境，提升城市整体形象。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市场地面修复面积</w:t>
            </w:r>
          </w:p>
        </w:tc>
        <w:tc>
          <w:tcPr>
            <w:tcW w:w="2835" w:type="dxa"/>
            <w:vAlign w:val="center"/>
          </w:tcPr>
          <w:p>
            <w:pPr>
              <w:pStyle w:val="14"/>
            </w:pPr>
            <w:r>
              <w:t>市场地面修复面积</w:t>
            </w:r>
          </w:p>
        </w:tc>
        <w:tc>
          <w:tcPr>
            <w:tcW w:w="2551" w:type="dxa"/>
            <w:vAlign w:val="center"/>
          </w:tcPr>
          <w:p>
            <w:pPr>
              <w:pStyle w:val="14"/>
            </w:pPr>
            <w:r>
              <w:t>25000平方米</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工程验收合格率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一期工程款支付时间</w:t>
            </w:r>
          </w:p>
        </w:tc>
        <w:tc>
          <w:tcPr>
            <w:tcW w:w="2835" w:type="dxa"/>
            <w:vAlign w:val="center"/>
          </w:tcPr>
          <w:p>
            <w:pPr>
              <w:pStyle w:val="14"/>
            </w:pPr>
            <w:r>
              <w:t>一期工程款支付时间</w:t>
            </w:r>
          </w:p>
        </w:tc>
        <w:tc>
          <w:tcPr>
            <w:tcW w:w="2551" w:type="dxa"/>
            <w:vAlign w:val="center"/>
          </w:tcPr>
          <w:p>
            <w:pPr>
              <w:pStyle w:val="14"/>
            </w:pPr>
            <w:r>
              <w:t>≤5月份</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修复过程造价控制数</w:t>
            </w:r>
          </w:p>
        </w:tc>
        <w:tc>
          <w:tcPr>
            <w:tcW w:w="2835" w:type="dxa"/>
            <w:vAlign w:val="center"/>
          </w:tcPr>
          <w:p>
            <w:pPr>
              <w:pStyle w:val="14"/>
            </w:pPr>
            <w:r>
              <w:t>修复工程造价控制数</w:t>
            </w:r>
          </w:p>
        </w:tc>
        <w:tc>
          <w:tcPr>
            <w:tcW w:w="2551" w:type="dxa"/>
            <w:vAlign w:val="center"/>
          </w:tcPr>
          <w:p>
            <w:pPr>
              <w:pStyle w:val="14"/>
            </w:pPr>
            <w:r>
              <w:t>≤79.68万元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减少道路拥堵条数</w:t>
            </w:r>
          </w:p>
        </w:tc>
        <w:tc>
          <w:tcPr>
            <w:tcW w:w="2835" w:type="dxa"/>
            <w:vAlign w:val="center"/>
          </w:tcPr>
          <w:p>
            <w:pPr>
              <w:pStyle w:val="14"/>
            </w:pPr>
            <w:r>
              <w:t>减少道路拥堵条数</w:t>
            </w:r>
          </w:p>
        </w:tc>
        <w:tc>
          <w:tcPr>
            <w:tcW w:w="2551" w:type="dxa"/>
            <w:vAlign w:val="center"/>
          </w:tcPr>
          <w:p>
            <w:pPr>
              <w:pStyle w:val="14"/>
            </w:pPr>
            <w:r>
              <w:t>≥1条</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市场周边群众满意度</w:t>
            </w:r>
          </w:p>
        </w:tc>
        <w:tc>
          <w:tcPr>
            <w:tcW w:w="2835" w:type="dxa"/>
            <w:vAlign w:val="center"/>
          </w:tcPr>
          <w:p>
            <w:pPr>
              <w:pStyle w:val="14"/>
            </w:pPr>
            <w:r>
              <w:t>对市场周边居民调查满意人员数占总调查人数的比率</w:t>
            </w:r>
          </w:p>
        </w:tc>
        <w:tc>
          <w:tcPr>
            <w:tcW w:w="2551" w:type="dxa"/>
            <w:vAlign w:val="center"/>
          </w:tcPr>
          <w:p>
            <w:pPr>
              <w:pStyle w:val="14"/>
            </w:pPr>
            <w:r>
              <w:t>≥90%</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市场商户满意度</w:t>
            </w:r>
          </w:p>
        </w:tc>
        <w:tc>
          <w:tcPr>
            <w:tcW w:w="2835" w:type="dxa"/>
            <w:vAlign w:val="center"/>
          </w:tcPr>
          <w:p>
            <w:pPr>
              <w:pStyle w:val="14"/>
            </w:pPr>
            <w:r>
              <w:t>对市场商户调查满意人员数占总调查人数的比率</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8、冯庄土地租赁经费绩效目标表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租用冯庄村土地36亩和贾庄土地2.16亩，建立可容纳800个摊位的集贸市场，将占道摊点纳入其中统一管理、规范经营，满足建设西道周边市民群众生活、交易需要，并进一步优化建设西道市容环境秩序，保障道路出行顺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租用土地面积</w:t>
            </w:r>
          </w:p>
        </w:tc>
        <w:tc>
          <w:tcPr>
            <w:tcW w:w="2835" w:type="dxa"/>
            <w:vAlign w:val="center"/>
          </w:tcPr>
          <w:p>
            <w:pPr>
              <w:pStyle w:val="14"/>
            </w:pPr>
            <w:r>
              <w:t>集贸市场租用土地面积</w:t>
            </w:r>
          </w:p>
        </w:tc>
        <w:tc>
          <w:tcPr>
            <w:tcW w:w="2551" w:type="dxa"/>
            <w:vAlign w:val="center"/>
          </w:tcPr>
          <w:p>
            <w:pPr>
              <w:pStyle w:val="14"/>
            </w:pPr>
            <w:r>
              <w:t>38.16亩</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土地硬化率</w:t>
            </w:r>
          </w:p>
        </w:tc>
        <w:tc>
          <w:tcPr>
            <w:tcW w:w="2835" w:type="dxa"/>
            <w:vAlign w:val="center"/>
          </w:tcPr>
          <w:p>
            <w:pPr>
              <w:pStyle w:val="14"/>
            </w:pPr>
            <w:r>
              <w:t>硬化面积占比</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费用支付时间</w:t>
            </w:r>
          </w:p>
        </w:tc>
        <w:tc>
          <w:tcPr>
            <w:tcW w:w="2835" w:type="dxa"/>
            <w:vAlign w:val="center"/>
          </w:tcPr>
          <w:p>
            <w:pPr>
              <w:pStyle w:val="14"/>
            </w:pPr>
            <w:r>
              <w:t>在合同规定时间内支付各项费</w:t>
            </w:r>
          </w:p>
        </w:tc>
        <w:tc>
          <w:tcPr>
            <w:tcW w:w="2551" w:type="dxa"/>
            <w:vAlign w:val="center"/>
          </w:tcPr>
          <w:p>
            <w:pPr>
              <w:pStyle w:val="14"/>
            </w:pPr>
            <w:r>
              <w:t>≤7月份</w:t>
            </w:r>
          </w:p>
        </w:tc>
        <w:tc>
          <w:tcPr>
            <w:tcW w:w="2268" w:type="dxa"/>
            <w:vAlign w:val="center"/>
          </w:tcPr>
          <w:p>
            <w:pPr>
              <w:pStyle w:val="14"/>
            </w:pPr>
            <w: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土地租赁费预算控制数</w:t>
            </w:r>
          </w:p>
        </w:tc>
        <w:tc>
          <w:tcPr>
            <w:tcW w:w="2835" w:type="dxa"/>
            <w:vAlign w:val="center"/>
          </w:tcPr>
          <w:p>
            <w:pPr>
              <w:pStyle w:val="14"/>
            </w:pPr>
            <w:r>
              <w:t>土地租赁费预算控制数</w:t>
            </w:r>
          </w:p>
        </w:tc>
        <w:tc>
          <w:tcPr>
            <w:tcW w:w="2551" w:type="dxa"/>
            <w:vAlign w:val="center"/>
          </w:tcPr>
          <w:p>
            <w:pPr>
              <w:pStyle w:val="14"/>
            </w:pPr>
            <w:r>
              <w:t>≤11.8万元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容纳摊位数量</w:t>
            </w:r>
          </w:p>
        </w:tc>
        <w:tc>
          <w:tcPr>
            <w:tcW w:w="2835" w:type="dxa"/>
            <w:vAlign w:val="center"/>
          </w:tcPr>
          <w:p>
            <w:pPr>
              <w:pStyle w:val="14"/>
            </w:pPr>
            <w:r>
              <w:t>市场可容纳摊位数量</w:t>
            </w:r>
          </w:p>
        </w:tc>
        <w:tc>
          <w:tcPr>
            <w:tcW w:w="2551" w:type="dxa"/>
            <w:vAlign w:val="center"/>
          </w:tcPr>
          <w:p>
            <w:pPr>
              <w:pStyle w:val="14"/>
            </w:pPr>
            <w:r>
              <w:t>≥800个</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市场周边居民满意度</w:t>
            </w:r>
          </w:p>
        </w:tc>
        <w:tc>
          <w:tcPr>
            <w:tcW w:w="2835" w:type="dxa"/>
            <w:vAlign w:val="center"/>
          </w:tcPr>
          <w:p>
            <w:pPr>
              <w:pStyle w:val="14"/>
            </w:pPr>
            <w:r>
              <w:t>对市场周边居民调查满意人员数占总调查人数的比率</w:t>
            </w:r>
          </w:p>
        </w:tc>
        <w:tc>
          <w:tcPr>
            <w:tcW w:w="2551" w:type="dxa"/>
            <w:vAlign w:val="center"/>
          </w:tcPr>
          <w:p>
            <w:pPr>
              <w:pStyle w:val="14"/>
            </w:pPr>
            <w:r>
              <w:t>≥90%</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市场商户满意度</w:t>
            </w:r>
          </w:p>
        </w:tc>
        <w:tc>
          <w:tcPr>
            <w:tcW w:w="2835" w:type="dxa"/>
            <w:vAlign w:val="center"/>
          </w:tcPr>
          <w:p>
            <w:pPr>
              <w:pStyle w:val="14"/>
            </w:pPr>
            <w:r>
              <w:t>对市场商户调查满意人员数占总调查人数的比率</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9、冯庄土地租赁经费绩效目标表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租用冯庄村土地36亩和贾庄土地2.16亩，建立可容纳800个摊位的集贸市场，将占道摊点纳入其中统一管理、规范经营，满足建设西道周边市民群众生活、交易需要，并进一步优化建设西道市容环境秩序，提升城市整体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租用土地面积</w:t>
            </w:r>
          </w:p>
        </w:tc>
        <w:tc>
          <w:tcPr>
            <w:tcW w:w="2835" w:type="dxa"/>
            <w:vAlign w:val="center"/>
          </w:tcPr>
          <w:p>
            <w:pPr>
              <w:pStyle w:val="14"/>
            </w:pPr>
            <w:r>
              <w:t>集贸市场租用土地面积</w:t>
            </w:r>
          </w:p>
        </w:tc>
        <w:tc>
          <w:tcPr>
            <w:tcW w:w="2551" w:type="dxa"/>
            <w:vAlign w:val="center"/>
          </w:tcPr>
          <w:p>
            <w:pPr>
              <w:pStyle w:val="14"/>
            </w:pPr>
            <w:r>
              <w:t>38.16亩</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土地硬化率</w:t>
            </w:r>
          </w:p>
        </w:tc>
        <w:tc>
          <w:tcPr>
            <w:tcW w:w="2835" w:type="dxa"/>
            <w:vAlign w:val="center"/>
          </w:tcPr>
          <w:p>
            <w:pPr>
              <w:pStyle w:val="14"/>
            </w:pPr>
            <w:r>
              <w:t>硬化面积占比</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费用支付时间</w:t>
            </w:r>
          </w:p>
        </w:tc>
        <w:tc>
          <w:tcPr>
            <w:tcW w:w="2835" w:type="dxa"/>
            <w:vAlign w:val="center"/>
          </w:tcPr>
          <w:p>
            <w:pPr>
              <w:pStyle w:val="14"/>
            </w:pPr>
            <w:r>
              <w:t>在合同规定时间内支付各项费用</w:t>
            </w:r>
          </w:p>
        </w:tc>
        <w:tc>
          <w:tcPr>
            <w:tcW w:w="2551" w:type="dxa"/>
            <w:vAlign w:val="center"/>
          </w:tcPr>
          <w:p>
            <w:pPr>
              <w:pStyle w:val="14"/>
            </w:pPr>
            <w:r>
              <w:t>≤3月份</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土地租赁费预算控制数</w:t>
            </w:r>
          </w:p>
        </w:tc>
        <w:tc>
          <w:tcPr>
            <w:tcW w:w="2835" w:type="dxa"/>
            <w:vAlign w:val="center"/>
          </w:tcPr>
          <w:p>
            <w:pPr>
              <w:pStyle w:val="14"/>
            </w:pPr>
            <w:r>
              <w:t>土地租赁费预算控制数</w:t>
            </w:r>
          </w:p>
        </w:tc>
        <w:tc>
          <w:tcPr>
            <w:tcW w:w="2551" w:type="dxa"/>
            <w:vAlign w:val="center"/>
          </w:tcPr>
          <w:p>
            <w:pPr>
              <w:pStyle w:val="14"/>
            </w:pPr>
            <w:r>
              <w:t>≤11.8万元</w:t>
            </w:r>
          </w:p>
        </w:tc>
        <w:tc>
          <w:tcPr>
            <w:tcW w:w="2268" w:type="dxa"/>
            <w:vAlign w:val="center"/>
          </w:tcPr>
          <w:p>
            <w:pPr>
              <w:pStyle w:val="14"/>
            </w:pPr>
            <w: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容纳摊位数量</w:t>
            </w:r>
          </w:p>
        </w:tc>
        <w:tc>
          <w:tcPr>
            <w:tcW w:w="2835" w:type="dxa"/>
            <w:vAlign w:val="center"/>
          </w:tcPr>
          <w:p>
            <w:pPr>
              <w:pStyle w:val="14"/>
            </w:pPr>
            <w:r>
              <w:t>市场可容纳摊位数量</w:t>
            </w:r>
          </w:p>
        </w:tc>
        <w:tc>
          <w:tcPr>
            <w:tcW w:w="2551" w:type="dxa"/>
            <w:vAlign w:val="center"/>
          </w:tcPr>
          <w:p>
            <w:pPr>
              <w:pStyle w:val="14"/>
            </w:pPr>
            <w:r>
              <w:t>≥800个</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市场周边居民满意度</w:t>
            </w:r>
          </w:p>
        </w:tc>
        <w:tc>
          <w:tcPr>
            <w:tcW w:w="2835" w:type="dxa"/>
            <w:vAlign w:val="center"/>
          </w:tcPr>
          <w:p>
            <w:pPr>
              <w:pStyle w:val="14"/>
            </w:pPr>
            <w:r>
              <w:t>对市场周边居民调查满意人员数占总调查人数的比率</w:t>
            </w:r>
          </w:p>
        </w:tc>
        <w:tc>
          <w:tcPr>
            <w:tcW w:w="2551" w:type="dxa"/>
            <w:vAlign w:val="center"/>
          </w:tcPr>
          <w:p>
            <w:pPr>
              <w:pStyle w:val="14"/>
            </w:pPr>
            <w:r>
              <w:t>≥90%</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市场商户满意度</w:t>
            </w:r>
          </w:p>
        </w:tc>
        <w:tc>
          <w:tcPr>
            <w:tcW w:w="2835" w:type="dxa"/>
            <w:vAlign w:val="center"/>
          </w:tcPr>
          <w:p>
            <w:pPr>
              <w:pStyle w:val="14"/>
            </w:pPr>
            <w:r>
              <w:t>对市场商户调查满意人员数占总调查人数的比率</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10、机关改造工程经费绩效目标表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1.通过内移重建围墙169.5平方米，重建自行车棚155平方米，增设防盗窗43个，使温泉西道得以拓宽2米，增加道路建设121平方米，使交通顺畅且不影响机关安全和正常办公。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围墙面积</w:t>
            </w:r>
          </w:p>
        </w:tc>
        <w:tc>
          <w:tcPr>
            <w:tcW w:w="2835" w:type="dxa"/>
            <w:vAlign w:val="center"/>
          </w:tcPr>
          <w:p>
            <w:pPr>
              <w:pStyle w:val="14"/>
            </w:pPr>
            <w:r>
              <w:t>重建围墙面积</w:t>
            </w:r>
          </w:p>
        </w:tc>
        <w:tc>
          <w:tcPr>
            <w:tcW w:w="2551" w:type="dxa"/>
            <w:vAlign w:val="center"/>
          </w:tcPr>
          <w:p>
            <w:pPr>
              <w:pStyle w:val="14"/>
            </w:pPr>
            <w:r>
              <w:t>169.5平方米</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自行车棚面积</w:t>
            </w:r>
          </w:p>
        </w:tc>
        <w:tc>
          <w:tcPr>
            <w:tcW w:w="2835" w:type="dxa"/>
            <w:vAlign w:val="center"/>
          </w:tcPr>
          <w:p>
            <w:pPr>
              <w:pStyle w:val="14"/>
            </w:pPr>
            <w:r>
              <w:t>重建自行车棚面积</w:t>
            </w:r>
          </w:p>
        </w:tc>
        <w:tc>
          <w:tcPr>
            <w:tcW w:w="2551" w:type="dxa"/>
            <w:vAlign w:val="center"/>
          </w:tcPr>
          <w:p>
            <w:pPr>
              <w:pStyle w:val="14"/>
            </w:pPr>
            <w:r>
              <w:t>155平方米</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防盗窗数量</w:t>
            </w:r>
          </w:p>
        </w:tc>
        <w:tc>
          <w:tcPr>
            <w:tcW w:w="2835" w:type="dxa"/>
            <w:vAlign w:val="center"/>
          </w:tcPr>
          <w:p>
            <w:pPr>
              <w:pStyle w:val="14"/>
            </w:pPr>
            <w:r>
              <w:t>增设防盗窗数量</w:t>
            </w:r>
          </w:p>
        </w:tc>
        <w:tc>
          <w:tcPr>
            <w:tcW w:w="2551" w:type="dxa"/>
            <w:vAlign w:val="center"/>
          </w:tcPr>
          <w:p>
            <w:pPr>
              <w:pStyle w:val="14"/>
            </w:pPr>
            <w:r>
              <w:t>43个</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工程质量验收合格率</w:t>
            </w:r>
          </w:p>
        </w:tc>
        <w:tc>
          <w:tcPr>
            <w:tcW w:w="2835" w:type="dxa"/>
            <w:vAlign w:val="center"/>
          </w:tcPr>
          <w:p>
            <w:pPr>
              <w:pStyle w:val="14"/>
            </w:pPr>
            <w:r>
              <w:t>各项改造工作验收合格率</w:t>
            </w:r>
          </w:p>
        </w:tc>
        <w:tc>
          <w:tcPr>
            <w:tcW w:w="2551" w:type="dxa"/>
            <w:vAlign w:val="center"/>
          </w:tcPr>
          <w:p>
            <w:pPr>
              <w:pStyle w:val="14"/>
            </w:pPr>
            <w:r>
              <w:t>100%</w:t>
            </w:r>
          </w:p>
        </w:tc>
        <w:tc>
          <w:tcPr>
            <w:tcW w:w="2268" w:type="dxa"/>
            <w:vAlign w:val="center"/>
          </w:tcPr>
          <w:p>
            <w:pPr>
              <w:pStyle w:val="14"/>
            </w:pPr>
            <w: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工程完成时间</w:t>
            </w:r>
          </w:p>
        </w:tc>
        <w:tc>
          <w:tcPr>
            <w:tcW w:w="2835" w:type="dxa"/>
            <w:vAlign w:val="center"/>
          </w:tcPr>
          <w:p>
            <w:pPr>
              <w:pStyle w:val="14"/>
            </w:pPr>
            <w:r>
              <w:t>改造完成时间</w:t>
            </w:r>
          </w:p>
        </w:tc>
        <w:tc>
          <w:tcPr>
            <w:tcW w:w="2551" w:type="dxa"/>
            <w:vAlign w:val="center"/>
          </w:tcPr>
          <w:p>
            <w:pPr>
              <w:pStyle w:val="14"/>
            </w:pPr>
            <w:r>
              <w:t>≤5月份</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工程建设费用</w:t>
            </w:r>
          </w:p>
        </w:tc>
        <w:tc>
          <w:tcPr>
            <w:tcW w:w="2835" w:type="dxa"/>
            <w:vAlign w:val="center"/>
          </w:tcPr>
          <w:p>
            <w:pPr>
              <w:pStyle w:val="14"/>
            </w:pPr>
            <w:r>
              <w:t>工程建设费用预算控制数</w:t>
            </w:r>
          </w:p>
        </w:tc>
        <w:tc>
          <w:tcPr>
            <w:tcW w:w="2551" w:type="dxa"/>
            <w:vAlign w:val="center"/>
          </w:tcPr>
          <w:p>
            <w:pPr>
              <w:pStyle w:val="14"/>
            </w:pPr>
            <w:r>
              <w:t>≤11.14万元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建成道路交通顺畅度</w:t>
            </w:r>
          </w:p>
        </w:tc>
        <w:tc>
          <w:tcPr>
            <w:tcW w:w="2835" w:type="dxa"/>
            <w:vAlign w:val="center"/>
          </w:tcPr>
          <w:p>
            <w:pPr>
              <w:pStyle w:val="14"/>
            </w:pPr>
            <w:r>
              <w:t>单位后身道路建设边线与西侧建设边线保持一致</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单位人员满意度调查</w:t>
            </w:r>
          </w:p>
        </w:tc>
        <w:tc>
          <w:tcPr>
            <w:tcW w:w="2835" w:type="dxa"/>
            <w:vAlign w:val="center"/>
          </w:tcPr>
          <w:p>
            <w:pPr>
              <w:pStyle w:val="14"/>
            </w:pPr>
            <w:r>
              <w:t>单位人员对改造工作的整体满意度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11、执法辅助人员经费绩效目标表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1.通过及时发放67名执法辅助人员工资并为其足额缴纳保险，使得执法辅助人员安心做好执法辅助工作，协助执法人员查处案件，提高全局执法案件效率。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执法辅助人员人数</w:t>
            </w:r>
          </w:p>
        </w:tc>
        <w:tc>
          <w:tcPr>
            <w:tcW w:w="2835" w:type="dxa"/>
            <w:vAlign w:val="center"/>
          </w:tcPr>
          <w:p>
            <w:pPr>
              <w:pStyle w:val="14"/>
            </w:pPr>
            <w:r>
              <w:t>执法辅助人员人数</w:t>
            </w:r>
          </w:p>
        </w:tc>
        <w:tc>
          <w:tcPr>
            <w:tcW w:w="2551" w:type="dxa"/>
            <w:vAlign w:val="center"/>
          </w:tcPr>
          <w:p>
            <w:pPr>
              <w:pStyle w:val="14"/>
            </w:pPr>
            <w:r>
              <w:t>67人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工资保险保障率</w:t>
            </w:r>
          </w:p>
        </w:tc>
        <w:tc>
          <w:tcPr>
            <w:tcW w:w="2835" w:type="dxa"/>
            <w:vAlign w:val="center"/>
          </w:tcPr>
          <w:p>
            <w:pPr>
              <w:pStyle w:val="14"/>
            </w:pPr>
            <w:r>
              <w:t>工资保险按合同严格执行率</w:t>
            </w:r>
          </w:p>
        </w:tc>
        <w:tc>
          <w:tcPr>
            <w:tcW w:w="2551" w:type="dxa"/>
            <w:vAlign w:val="center"/>
          </w:tcPr>
          <w:p>
            <w:pPr>
              <w:pStyle w:val="14"/>
            </w:pPr>
            <w:r>
              <w:t>100%</w:t>
            </w:r>
          </w:p>
        </w:tc>
        <w:tc>
          <w:tcPr>
            <w:tcW w:w="2268" w:type="dxa"/>
            <w:vAlign w:val="center"/>
          </w:tcPr>
          <w:p>
            <w:pPr>
              <w:pStyle w:val="14"/>
            </w:pPr>
            <w: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工资保险支付时间</w:t>
            </w:r>
          </w:p>
        </w:tc>
        <w:tc>
          <w:tcPr>
            <w:tcW w:w="2835" w:type="dxa"/>
            <w:vAlign w:val="center"/>
          </w:tcPr>
          <w:p>
            <w:pPr>
              <w:pStyle w:val="14"/>
            </w:pPr>
            <w:r>
              <w:t>工资保险支付时间</w:t>
            </w:r>
          </w:p>
        </w:tc>
        <w:tc>
          <w:tcPr>
            <w:tcW w:w="2551" w:type="dxa"/>
            <w:vAlign w:val="center"/>
          </w:tcPr>
          <w:p>
            <w:pPr>
              <w:pStyle w:val="14"/>
            </w:pPr>
            <w:r>
              <w:t>≤2月份</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人员经费预算总控制数</w:t>
            </w:r>
          </w:p>
        </w:tc>
        <w:tc>
          <w:tcPr>
            <w:tcW w:w="2835" w:type="dxa"/>
            <w:vAlign w:val="center"/>
          </w:tcPr>
          <w:p>
            <w:pPr>
              <w:pStyle w:val="14"/>
            </w:pPr>
            <w:r>
              <w:t>人员经费预算总控制数</w:t>
            </w:r>
          </w:p>
        </w:tc>
        <w:tc>
          <w:tcPr>
            <w:tcW w:w="2551" w:type="dxa"/>
            <w:vAlign w:val="center"/>
          </w:tcPr>
          <w:p>
            <w:pPr>
              <w:pStyle w:val="14"/>
            </w:pPr>
            <w:r>
              <w:t>≤21.6万元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每人月工资保险控制数</w:t>
            </w:r>
          </w:p>
        </w:tc>
        <w:tc>
          <w:tcPr>
            <w:tcW w:w="2835" w:type="dxa"/>
            <w:vAlign w:val="center"/>
          </w:tcPr>
          <w:p>
            <w:pPr>
              <w:pStyle w:val="14"/>
            </w:pPr>
            <w:r>
              <w:t>每人月工资保险控制数</w:t>
            </w:r>
          </w:p>
        </w:tc>
        <w:tc>
          <w:tcPr>
            <w:tcW w:w="2551" w:type="dxa"/>
            <w:vAlign w:val="center"/>
          </w:tcPr>
          <w:p>
            <w:pPr>
              <w:pStyle w:val="14"/>
            </w:pPr>
            <w:r>
              <w:t>≤0.33万元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辅助完成案件数量</w:t>
            </w:r>
          </w:p>
        </w:tc>
        <w:tc>
          <w:tcPr>
            <w:tcW w:w="2835" w:type="dxa"/>
            <w:vAlign w:val="center"/>
          </w:tcPr>
          <w:p>
            <w:pPr>
              <w:pStyle w:val="14"/>
            </w:pPr>
            <w:r>
              <w:t>全年辅助完成案件数量</w:t>
            </w:r>
          </w:p>
        </w:tc>
        <w:tc>
          <w:tcPr>
            <w:tcW w:w="2551" w:type="dxa"/>
            <w:vAlign w:val="center"/>
          </w:tcPr>
          <w:p>
            <w:pPr>
              <w:pStyle w:val="14"/>
            </w:pPr>
            <w:r>
              <w:t>≥3000件</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执法人员满意度</w:t>
            </w:r>
          </w:p>
        </w:tc>
        <w:tc>
          <w:tcPr>
            <w:tcW w:w="2835" w:type="dxa"/>
            <w:vAlign w:val="center"/>
          </w:tcPr>
          <w:p>
            <w:pPr>
              <w:pStyle w:val="14"/>
            </w:pPr>
            <w:r>
              <w:t>执法人员对辅助人员满意数量占被调查人数的比例。</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12、执勤巡逻车购置经费绩效目标表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1.通过购买2台电动执勤巡逻车（4人座），以解决高铁北站、西站、火车站、汽车站以及各高速出入口重点管控区域距离远，机动不灵活，保障移动执法站点更好的开展机动巡查执法。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购置数量</w:t>
            </w:r>
          </w:p>
        </w:tc>
        <w:tc>
          <w:tcPr>
            <w:tcW w:w="2835" w:type="dxa"/>
            <w:vAlign w:val="center"/>
          </w:tcPr>
          <w:p>
            <w:pPr>
              <w:pStyle w:val="14"/>
            </w:pPr>
            <w:r>
              <w:t>购置执法巡逻数量</w:t>
            </w:r>
          </w:p>
        </w:tc>
        <w:tc>
          <w:tcPr>
            <w:tcW w:w="2551" w:type="dxa"/>
            <w:vAlign w:val="center"/>
          </w:tcPr>
          <w:p>
            <w:pPr>
              <w:pStyle w:val="14"/>
            </w:pPr>
            <w:r>
              <w:t>2台</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采购验收合格率</w:t>
            </w:r>
          </w:p>
        </w:tc>
        <w:tc>
          <w:tcPr>
            <w:tcW w:w="2835" w:type="dxa"/>
            <w:vAlign w:val="center"/>
          </w:tcPr>
          <w:p>
            <w:pPr>
              <w:pStyle w:val="14"/>
            </w:pPr>
            <w:r>
              <w:t>符合国家质量标准</w:t>
            </w:r>
          </w:p>
        </w:tc>
        <w:tc>
          <w:tcPr>
            <w:tcW w:w="2551" w:type="dxa"/>
            <w:vAlign w:val="center"/>
          </w:tcPr>
          <w:p>
            <w:pPr>
              <w:pStyle w:val="14"/>
            </w:pPr>
            <w:r>
              <w:t>100%</w:t>
            </w:r>
          </w:p>
        </w:tc>
        <w:tc>
          <w:tcPr>
            <w:tcW w:w="2268" w:type="dxa"/>
            <w:vAlign w:val="center"/>
          </w:tcPr>
          <w:p>
            <w:pPr>
              <w:pStyle w:val="14"/>
            </w:pPr>
            <w:r>
              <w:t>国家标准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采购完成时间</w:t>
            </w:r>
          </w:p>
        </w:tc>
        <w:tc>
          <w:tcPr>
            <w:tcW w:w="2835" w:type="dxa"/>
            <w:vAlign w:val="center"/>
          </w:tcPr>
          <w:p>
            <w:pPr>
              <w:pStyle w:val="14"/>
            </w:pPr>
            <w:r>
              <w:t>政府采购完成时间</w:t>
            </w:r>
          </w:p>
        </w:tc>
        <w:tc>
          <w:tcPr>
            <w:tcW w:w="2551" w:type="dxa"/>
            <w:vAlign w:val="center"/>
          </w:tcPr>
          <w:p>
            <w:pPr>
              <w:pStyle w:val="14"/>
            </w:pPr>
            <w:r>
              <w:t>≤4月份</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交付使用时间</w:t>
            </w:r>
          </w:p>
        </w:tc>
        <w:tc>
          <w:tcPr>
            <w:tcW w:w="2835" w:type="dxa"/>
            <w:vAlign w:val="center"/>
          </w:tcPr>
          <w:p>
            <w:pPr>
              <w:pStyle w:val="14"/>
            </w:pPr>
            <w:r>
              <w:t>交付使用时间</w:t>
            </w:r>
          </w:p>
        </w:tc>
        <w:tc>
          <w:tcPr>
            <w:tcW w:w="2551" w:type="dxa"/>
            <w:vAlign w:val="center"/>
          </w:tcPr>
          <w:p>
            <w:pPr>
              <w:pStyle w:val="14"/>
            </w:pPr>
            <w:r>
              <w:t>≤5月份</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货款支付时间</w:t>
            </w:r>
          </w:p>
        </w:tc>
        <w:tc>
          <w:tcPr>
            <w:tcW w:w="2835" w:type="dxa"/>
            <w:vAlign w:val="center"/>
          </w:tcPr>
          <w:p>
            <w:pPr>
              <w:pStyle w:val="14"/>
            </w:pPr>
            <w:r>
              <w:t>货款支付时间</w:t>
            </w:r>
          </w:p>
        </w:tc>
        <w:tc>
          <w:tcPr>
            <w:tcW w:w="2551" w:type="dxa"/>
            <w:vAlign w:val="center"/>
          </w:tcPr>
          <w:p>
            <w:pPr>
              <w:pStyle w:val="14"/>
            </w:pPr>
            <w:r>
              <w:t>≤6月份</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预算总控制成本</w:t>
            </w:r>
          </w:p>
        </w:tc>
        <w:tc>
          <w:tcPr>
            <w:tcW w:w="2835" w:type="dxa"/>
            <w:vAlign w:val="center"/>
          </w:tcPr>
          <w:p>
            <w:pPr>
              <w:pStyle w:val="14"/>
            </w:pPr>
            <w:r>
              <w:t>预算总控制成本</w:t>
            </w:r>
          </w:p>
        </w:tc>
        <w:tc>
          <w:tcPr>
            <w:tcW w:w="2551" w:type="dxa"/>
            <w:vAlign w:val="center"/>
          </w:tcPr>
          <w:p>
            <w:pPr>
              <w:pStyle w:val="14"/>
            </w:pPr>
            <w:r>
              <w:t>≤11.02万元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执法工作开展情况</w:t>
            </w:r>
          </w:p>
        </w:tc>
        <w:tc>
          <w:tcPr>
            <w:tcW w:w="2835" w:type="dxa"/>
            <w:vAlign w:val="center"/>
          </w:tcPr>
          <w:p>
            <w:pPr>
              <w:pStyle w:val="14"/>
            </w:pPr>
            <w:r>
              <w:t>保证执法工作正常开展</w:t>
            </w:r>
          </w:p>
        </w:tc>
        <w:tc>
          <w:tcPr>
            <w:tcW w:w="2551" w:type="dxa"/>
            <w:vAlign w:val="center"/>
          </w:tcPr>
          <w:p>
            <w:pPr>
              <w:pStyle w:val="14"/>
            </w:pPr>
            <w:r>
              <w:t>1正常</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管理点位</w:t>
            </w:r>
          </w:p>
        </w:tc>
        <w:tc>
          <w:tcPr>
            <w:tcW w:w="2835" w:type="dxa"/>
            <w:vAlign w:val="center"/>
          </w:tcPr>
          <w:p>
            <w:pPr>
              <w:pStyle w:val="14"/>
            </w:pPr>
            <w:r>
              <w:t>巡查执勤管理点位个数</w:t>
            </w:r>
          </w:p>
        </w:tc>
        <w:tc>
          <w:tcPr>
            <w:tcW w:w="2551" w:type="dxa"/>
            <w:vAlign w:val="center"/>
          </w:tcPr>
          <w:p>
            <w:pPr>
              <w:pStyle w:val="14"/>
            </w:pPr>
            <w:r>
              <w:t>≥2个</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使用人满意度调查</w:t>
            </w:r>
          </w:p>
        </w:tc>
        <w:tc>
          <w:tcPr>
            <w:tcW w:w="2835" w:type="dxa"/>
            <w:vAlign w:val="center"/>
          </w:tcPr>
          <w:p>
            <w:pPr>
              <w:pStyle w:val="14"/>
            </w:pPr>
            <w:r>
              <w:t>车辆使用调查中，满意和较满意的人数占全部调查人数的比率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2022年，霸州市城市管理综合行政执法局安排政府采购预算0.00万元。具体内容见下表。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814霸州市城市管理综合行政执法局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霸州市城市管理综合行政执法局（含所属单位）上年末固定资产金额为</w:t>
      </w:r>
      <w:r>
        <w:rPr>
          <w:rFonts w:hint="eastAsia" w:eastAsia="方正仿宋_GBK" w:cs="Times New Roman"/>
          <w:b w:val="0"/>
          <w:color w:val="000000"/>
          <w:sz w:val="28"/>
          <w:lang w:val="en-US" w:eastAsia="zh-CN"/>
        </w:rPr>
        <w:t>891.61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814霸州市城市管理综合行政执法局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jc w:val="center"/>
            </w:pPr>
            <w:r>
              <w:rPr>
                <w:rFonts w:hint="eastAsia" w:ascii="宋体" w:hAnsi="宋体" w:eastAsia="宋体" w:cs="宋体"/>
                <w:kern w:val="0"/>
                <w:sz w:val="22"/>
              </w:rPr>
              <w:t>资产总额</w:t>
            </w:r>
          </w:p>
        </w:tc>
        <w:tc>
          <w:tcPr>
            <w:tcW w:w="2835" w:type="dxa"/>
            <w:vAlign w:val="center"/>
          </w:tcPr>
          <w:p>
            <w:pPr>
              <w:pStyle w:val="15"/>
              <w:rPr>
                <w:rFonts w:hint="eastAsia" w:eastAsia="方正书宋_GBK"/>
                <w:lang w:val="en-US" w:eastAsia="zh-CN"/>
              </w:rPr>
            </w:pPr>
            <w:r>
              <w:rPr>
                <w:rFonts w:hint="eastAsia"/>
                <w:lang w:val="en-US" w:eastAsia="zh-CN"/>
              </w:rPr>
              <w:t>——</w:t>
            </w:r>
          </w:p>
        </w:tc>
        <w:tc>
          <w:tcPr>
            <w:tcW w:w="2835" w:type="dxa"/>
            <w:vAlign w:val="center"/>
          </w:tcPr>
          <w:p>
            <w:pPr>
              <w:pStyle w:val="13"/>
              <w:rPr>
                <w:rFonts w:hint="default" w:eastAsia="方正书宋_GBK"/>
                <w:lang w:val="en-US" w:eastAsia="zh-CN"/>
              </w:rPr>
            </w:pPr>
            <w:r>
              <w:rPr>
                <w:rFonts w:hint="eastAsia"/>
                <w:lang w:val="en-US" w:eastAsia="zh-CN"/>
              </w:rPr>
              <w:t>891.61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rPr>
                <w:rFonts w:hint="eastAsia" w:ascii="宋体" w:hAnsi="宋体" w:eastAsia="宋体" w:cs="宋体"/>
                <w:kern w:val="0"/>
                <w:sz w:val="22"/>
              </w:rPr>
              <w:t>1、房屋（平方米）</w:t>
            </w:r>
          </w:p>
        </w:tc>
        <w:tc>
          <w:tcPr>
            <w:tcW w:w="2835" w:type="dxa"/>
            <w:vAlign w:val="center"/>
          </w:tcPr>
          <w:p>
            <w:pPr>
              <w:pStyle w:val="15"/>
              <w:rPr>
                <w:rFonts w:hint="default" w:eastAsia="方正书宋_GBK"/>
                <w:lang w:val="en-US" w:eastAsia="zh-CN"/>
              </w:rPr>
            </w:pPr>
            <w:r>
              <w:rPr>
                <w:rFonts w:hint="eastAsia"/>
                <w:lang w:val="en-US" w:eastAsia="zh-CN"/>
              </w:rPr>
              <w:t>4</w:t>
            </w:r>
            <w:bookmarkStart w:id="18" w:name="_GoBack"/>
            <w:bookmarkEnd w:id="18"/>
            <w:r>
              <w:rPr>
                <w:rFonts w:hint="eastAsia"/>
                <w:lang w:val="en-US" w:eastAsia="zh-CN"/>
              </w:rPr>
              <w:t>376</w:t>
            </w:r>
          </w:p>
        </w:tc>
        <w:tc>
          <w:tcPr>
            <w:tcW w:w="2835" w:type="dxa"/>
            <w:vAlign w:val="center"/>
          </w:tcPr>
          <w:p>
            <w:pPr>
              <w:pStyle w:val="13"/>
              <w:rPr>
                <w:rFonts w:hint="default" w:eastAsia="方正书宋_GBK"/>
                <w:lang w:val="en-US" w:eastAsia="zh-CN"/>
              </w:rPr>
            </w:pPr>
            <w:r>
              <w:rPr>
                <w:rFonts w:hint="eastAsia"/>
                <w:lang w:val="en-US" w:eastAsia="zh-CN"/>
              </w:rPr>
              <w:t>391.16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ascii="宋体" w:hAnsi="宋体" w:eastAsia="宋体" w:cs="宋体"/>
                <w:kern w:val="0"/>
                <w:sz w:val="22"/>
              </w:rPr>
              <w:t xml:space="preserve">  其中：办公用房（平方米）</w:t>
            </w:r>
          </w:p>
        </w:tc>
        <w:tc>
          <w:tcPr>
            <w:tcW w:w="2835" w:type="dxa"/>
            <w:vAlign w:val="center"/>
          </w:tcPr>
          <w:p>
            <w:pPr>
              <w:pStyle w:val="15"/>
              <w:rPr>
                <w:rFonts w:hint="default" w:eastAsia="方正书宋_GBK"/>
                <w:lang w:val="en-US" w:eastAsia="zh-CN"/>
              </w:rPr>
            </w:pPr>
            <w:r>
              <w:rPr>
                <w:rFonts w:hint="eastAsia"/>
                <w:lang w:val="en-US" w:eastAsia="zh-CN"/>
              </w:rPr>
              <w:t>4376</w:t>
            </w:r>
          </w:p>
        </w:tc>
        <w:tc>
          <w:tcPr>
            <w:tcW w:w="2835" w:type="dxa"/>
            <w:vAlign w:val="center"/>
          </w:tcPr>
          <w:p>
            <w:pPr>
              <w:pStyle w:val="13"/>
              <w:rPr>
                <w:rFonts w:hint="default" w:eastAsia="方正书宋_GBK"/>
                <w:lang w:val="en-US" w:eastAsia="zh-CN"/>
              </w:rPr>
            </w:pPr>
            <w:r>
              <w:rPr>
                <w:rFonts w:hint="eastAsia"/>
                <w:lang w:val="en-US" w:eastAsia="zh-CN"/>
              </w:rPr>
              <w:t>391.16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ascii="宋体" w:hAnsi="宋体" w:eastAsia="宋体" w:cs="宋体"/>
                <w:kern w:val="0"/>
                <w:sz w:val="22"/>
              </w:rPr>
              <w:t>2、车辆（台、辆）</w:t>
            </w:r>
          </w:p>
        </w:tc>
        <w:tc>
          <w:tcPr>
            <w:tcW w:w="2835" w:type="dxa"/>
            <w:vAlign w:val="center"/>
          </w:tcPr>
          <w:p>
            <w:pPr>
              <w:pStyle w:val="15"/>
              <w:rPr>
                <w:rFonts w:hint="default" w:eastAsia="方正书宋_GBK"/>
                <w:lang w:val="en-US" w:eastAsia="zh-CN"/>
              </w:rPr>
            </w:pPr>
            <w:r>
              <w:rPr>
                <w:rFonts w:hint="eastAsia"/>
                <w:lang w:val="en-US" w:eastAsia="zh-CN"/>
              </w:rPr>
              <w:t>25</w:t>
            </w:r>
          </w:p>
        </w:tc>
        <w:tc>
          <w:tcPr>
            <w:tcW w:w="2835" w:type="dxa"/>
            <w:vAlign w:val="center"/>
          </w:tcPr>
          <w:p>
            <w:pPr>
              <w:pStyle w:val="13"/>
              <w:rPr>
                <w:rFonts w:hint="default" w:eastAsia="方正书宋_GBK"/>
                <w:lang w:val="en-US" w:eastAsia="zh-CN"/>
              </w:rPr>
            </w:pPr>
            <w:r>
              <w:rPr>
                <w:rFonts w:hint="eastAsia"/>
                <w:lang w:val="en-US" w:eastAsia="zh-CN"/>
              </w:rPr>
              <w:t>228.33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ascii="宋体" w:hAnsi="宋体" w:eastAsia="宋体" w:cs="宋体"/>
                <w:kern w:val="0"/>
                <w:sz w:val="22"/>
              </w:rP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rPr>
                <w:rFonts w:hint="eastAsia" w:ascii="宋体" w:hAnsi="宋体" w:eastAsia="宋体" w:cs="宋体"/>
                <w:kern w:val="0"/>
                <w:sz w:val="22"/>
              </w:rPr>
              <w:t>4、其他固定资产</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272.12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240" w:lineRule="auto"/>
        <w:ind w:firstLine="560" w:firstLineChars="200"/>
        <w:jc w:val="both"/>
        <w:outlineLvl w:val="9"/>
      </w:pPr>
      <w:r>
        <w:rPr>
          <w:rFonts w:hint="eastAsia" w:eastAsia="方正仿宋_GBK" w:cs="Times New Roman"/>
          <w:b w:val="0"/>
          <w:color w:val="000000"/>
          <w:sz w:val="28"/>
          <w:lang w:eastAsia="zh-CN"/>
        </w:rPr>
        <w:t>无</w:t>
      </w: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0CACB"/>
    <w:multiLevelType w:val="singleLevel"/>
    <w:tmpl w:val="5B80CAC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E7E5361"/>
    <w:rsid w:val="1FD87076"/>
    <w:rsid w:val="26170A1D"/>
    <w:rsid w:val="2DC56742"/>
    <w:rsid w:val="2F917AF4"/>
    <w:rsid w:val="501A737A"/>
    <w:rsid w:val="5D9525C5"/>
    <w:rsid w:val="626F3C56"/>
    <w:rsid w:val="655C5A89"/>
    <w:rsid w:val="6D0E6489"/>
    <w:rsid w:val="6F2D12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6" Type="http://schemas.openxmlformats.org/officeDocument/2006/relationships/fontTable" Target="fontTable.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2022-03-04T10:13:30Z</dcterms:created>
  <dcterms:modified xsi:type="dcterms:W3CDTF">2022-03-04T02:13:30Z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2022-03-04T10:13:30Z</dcterms:created>
  <dcterms:modified xsi:type="dcterms:W3CDTF">2022-03-04T02:13:30Z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2022-03-04T10:13:22Z</dcterms:created>
  <dcterms:modified xsi:type="dcterms:W3CDTF">2022-03-04T02:13:22Z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2022-03-04T10:13:30Z</dcterms:created>
  <dcterms:modified xsi:type="dcterms:W3CDTF">2022-03-04T02:13:30Z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2022-03-04T10:13:30Z</dcterms:created>
  <dcterms:modified xsi:type="dcterms:W3CDTF">2022-03-04T02:13:30Z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2022-03-04T10:13:22Z</dcterms:created>
  <dcterms:modified xsi:type="dcterms:W3CDTF">2022-03-04T02:13:22Z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2022-03-04T10:13:30Z</dcterms:created>
  <dcterms:modified xsi:type="dcterms:W3CDTF">2022-03-04T02:13:30Z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2022-03-04T10:13:30Z</dcterms:created>
  <dcterms:modified xsi:type="dcterms:W3CDTF">2022-03-04T02:13:30Z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2022-03-04T10:13:29Z</dcterms:created>
  <dcterms:modified xsi:type="dcterms:W3CDTF">2022-03-04T02:13:29Z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2022-03-04T10:13:29Z</dcterms:created>
  <dcterms:modified xsi:type="dcterms:W3CDTF">2022-03-04T02:13:29Z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2022-03-04T10:13:29Z</dcterms:created>
  <dcterms:modified xsi:type="dcterms:W3CDTF">2022-03-04T02:13:29Z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2022-03-04T10:13:29Z</dcterms:created>
  <dcterms:modified xsi:type="dcterms:W3CDTF">2022-03-04T02:13:29Z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2022-03-04T10:13:29Z</dcterms:created>
  <dcterms:modified xsi:type="dcterms:W3CDTF">2022-03-04T02:13:29Z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2022-03-04T10:13:28Z</dcterms:created>
  <dcterms:modified xsi:type="dcterms:W3CDTF">2022-03-04T02:13:27Z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2022-03-04T10:13:22Z</dcterms:created>
  <dcterms:modified xsi:type="dcterms:W3CDTF">2022-03-04T02:13:22Z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2022-03-04T10:13:24Z</dcterms:created>
  <dcterms:modified xsi:type="dcterms:W3CDTF">2022-03-04T02:13:24Z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2022-03-04T10:13:22Z</dcterms:created>
  <dcterms:modified xsi:type="dcterms:W3CDTF">2022-03-04T02:13:22Z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2022-03-04T10:13:24Z</dcterms:created>
  <dcterms:modified xsi:type="dcterms:W3CDTF">2022-03-04T02:13:24Z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2022-03-04T10:13:24Z</dcterms:created>
  <dcterms:modified xsi:type="dcterms:W3CDTF">2022-03-04T02:13:24Z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2022-03-04T10:13:23Z</dcterms:created>
  <dcterms:modified xsi:type="dcterms:W3CDTF">2022-03-04T02:13:23Z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2022-03-04T10:13:23Z</dcterms:created>
  <dcterms:modified xsi:type="dcterms:W3CDTF">2022-03-04T02:13:23Z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2022-03-04T10:13:23Z</dcterms:created>
  <dcterms:modified xsi:type="dcterms:W3CDTF">2022-03-04T02:13:23Z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2022-03-04T10:13:23Z</dcterms:created>
  <dcterms:modified xsi:type="dcterms:W3CDTF">2022-03-04T02:13:23Z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2022-03-04T10:13:23Z</dcterms:created>
  <dcterms:modified xsi:type="dcterms:W3CDTF">2022-03-04T02:13:23Z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2022-03-04T10:13:23Z</dcterms:created>
  <dcterms:modified xsi:type="dcterms:W3CDTF">2022-03-04T02:13:23Z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2022-03-04T10:13:22Z</dcterms:created>
  <dcterms:modified xsi:type="dcterms:W3CDTF">2022-03-04T02:13:22Z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2022-03-04T10:13:20Z</dcterms:created>
  <dcterms:modified xsi:type="dcterms:W3CDTF">2022-03-04T02:13:20Z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2022-03-04T10:13:31Z</dcterms:created>
  <dcterms:modified xsi:type="dcterms:W3CDTF">2022-03-04T02:13:31Z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2022-03-04T10:13:31Z</dcterms:created>
  <dcterms:modified xsi:type="dcterms:W3CDTF">2022-03-04T02:13:30Z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735f1c7-29f3-44a4-8436-e6447edfe47f}">
  <ds:schemaRefs/>
</ds:datastoreItem>
</file>

<file path=customXml/itemProps11.xml><?xml version="1.0" encoding="utf-8"?>
<ds:datastoreItem xmlns:ds="http://schemas.openxmlformats.org/officeDocument/2006/customXml" ds:itemID="{3faa91de-1496-4308-8a5e-844d4858bf2f}">
  <ds:schemaRefs/>
</ds:datastoreItem>
</file>

<file path=customXml/itemProps12.xml><?xml version="1.0" encoding="utf-8"?>
<ds:datastoreItem xmlns:ds="http://schemas.openxmlformats.org/officeDocument/2006/customXml" ds:itemID="{31ef7b0a-31b1-42b8-a38d-d2a7a793906e}">
  <ds:schemaRefs/>
</ds:datastoreItem>
</file>

<file path=customXml/itemProps13.xml><?xml version="1.0" encoding="utf-8"?>
<ds:datastoreItem xmlns:ds="http://schemas.openxmlformats.org/officeDocument/2006/customXml" ds:itemID="{7bf589fc-835f-459e-ad99-f5111dd6b75e}">
  <ds:schemaRefs/>
</ds:datastoreItem>
</file>

<file path=customXml/itemProps14.xml><?xml version="1.0" encoding="utf-8"?>
<ds:datastoreItem xmlns:ds="http://schemas.openxmlformats.org/officeDocument/2006/customXml" ds:itemID="{9b851b7f-e642-4a50-be39-827a5e3ec094}">
  <ds:schemaRefs/>
</ds:datastoreItem>
</file>

<file path=customXml/itemProps15.xml><?xml version="1.0" encoding="utf-8"?>
<ds:datastoreItem xmlns:ds="http://schemas.openxmlformats.org/officeDocument/2006/customXml" ds:itemID="{a1583900-b3f1-47fe-9371-94e522ef39a2}">
  <ds:schemaRefs/>
</ds:datastoreItem>
</file>

<file path=customXml/itemProps16.xml><?xml version="1.0" encoding="utf-8"?>
<ds:datastoreItem xmlns:ds="http://schemas.openxmlformats.org/officeDocument/2006/customXml" ds:itemID="{d9f27d12-130b-4acb-b830-4862ace08ec0}">
  <ds:schemaRefs/>
</ds:datastoreItem>
</file>

<file path=customXml/itemProps17.xml><?xml version="1.0" encoding="utf-8"?>
<ds:datastoreItem xmlns:ds="http://schemas.openxmlformats.org/officeDocument/2006/customXml" ds:itemID="{b09f464c-bc54-4ab2-a2b6-baaa7f1c8ec7}">
  <ds:schemaRefs/>
</ds:datastoreItem>
</file>

<file path=customXml/itemProps18.xml><?xml version="1.0" encoding="utf-8"?>
<ds:datastoreItem xmlns:ds="http://schemas.openxmlformats.org/officeDocument/2006/customXml" ds:itemID="{f7f15852-839c-4e1e-b377-2a11d6c923d6}">
  <ds:schemaRefs/>
</ds:datastoreItem>
</file>

<file path=customXml/itemProps19.xml><?xml version="1.0" encoding="utf-8"?>
<ds:datastoreItem xmlns:ds="http://schemas.openxmlformats.org/officeDocument/2006/customXml" ds:itemID="{2d611712-6458-425e-a636-5b61773472d4}">
  <ds:schemaRefs/>
</ds:datastoreItem>
</file>

<file path=customXml/itemProps2.xml><?xml version="1.0" encoding="utf-8"?>
<ds:datastoreItem xmlns:ds="http://schemas.openxmlformats.org/officeDocument/2006/customXml" ds:itemID="{85866bc4-cc3e-44fa-aea7-5a88ee13ac92}">
  <ds:schemaRefs/>
</ds:datastoreItem>
</file>

<file path=customXml/itemProps20.xml><?xml version="1.0" encoding="utf-8"?>
<ds:datastoreItem xmlns:ds="http://schemas.openxmlformats.org/officeDocument/2006/customXml" ds:itemID="{6583f48a-de6b-4c87-a915-6d1804afa7b8}">
  <ds:schemaRefs/>
</ds:datastoreItem>
</file>

<file path=customXml/itemProps21.xml><?xml version="1.0" encoding="utf-8"?>
<ds:datastoreItem xmlns:ds="http://schemas.openxmlformats.org/officeDocument/2006/customXml" ds:itemID="{65a029aa-5518-4dcb-a5c5-27f5755f8181}">
  <ds:schemaRefs/>
</ds:datastoreItem>
</file>

<file path=customXml/itemProps22.xml><?xml version="1.0" encoding="utf-8"?>
<ds:datastoreItem xmlns:ds="http://schemas.openxmlformats.org/officeDocument/2006/customXml" ds:itemID="{4742787e-30f8-4643-b131-59c36b7abc5c}">
  <ds:schemaRefs/>
</ds:datastoreItem>
</file>

<file path=customXml/itemProps23.xml><?xml version="1.0" encoding="utf-8"?>
<ds:datastoreItem xmlns:ds="http://schemas.openxmlformats.org/officeDocument/2006/customXml" ds:itemID="{985e9f1d-eef9-4a0d-8ee9-a472f8e174fa}">
  <ds:schemaRefs/>
</ds:datastoreItem>
</file>

<file path=customXml/itemProps24.xml><?xml version="1.0" encoding="utf-8"?>
<ds:datastoreItem xmlns:ds="http://schemas.openxmlformats.org/officeDocument/2006/customXml" ds:itemID="{f29c25ff-d4bb-4aa1-b026-94834718d782}">
  <ds:schemaRefs/>
</ds:datastoreItem>
</file>

<file path=customXml/itemProps25.xml><?xml version="1.0" encoding="utf-8"?>
<ds:datastoreItem xmlns:ds="http://schemas.openxmlformats.org/officeDocument/2006/customXml" ds:itemID="{b29cdc32-2e68-40d9-8648-10a1db51b048}">
  <ds:schemaRefs/>
</ds:datastoreItem>
</file>

<file path=customXml/itemProps26.xml><?xml version="1.0" encoding="utf-8"?>
<ds:datastoreItem xmlns:ds="http://schemas.openxmlformats.org/officeDocument/2006/customXml" ds:itemID="{1366b693-aeb7-43c5-8e8b-9c75f6232dd2}">
  <ds:schemaRefs/>
</ds:datastoreItem>
</file>

<file path=customXml/itemProps27.xml><?xml version="1.0" encoding="utf-8"?>
<ds:datastoreItem xmlns:ds="http://schemas.openxmlformats.org/officeDocument/2006/customXml" ds:itemID="{6b7d2ef4-b8ac-4fbb-956c-d8e8ffbf766d}">
  <ds:schemaRefs/>
</ds:datastoreItem>
</file>

<file path=customXml/itemProps28.xml><?xml version="1.0" encoding="utf-8"?>
<ds:datastoreItem xmlns:ds="http://schemas.openxmlformats.org/officeDocument/2006/customXml" ds:itemID="{27773869-2c15-43d4-9ee8-485f7b0cb712}">
  <ds:schemaRefs/>
</ds:datastoreItem>
</file>

<file path=customXml/itemProps29.xml><?xml version="1.0" encoding="utf-8"?>
<ds:datastoreItem xmlns:ds="http://schemas.openxmlformats.org/officeDocument/2006/customXml" ds:itemID="{6419fb2d-4b05-49ce-b047-ac2786725cf2}">
  <ds:schemaRefs/>
</ds:datastoreItem>
</file>

<file path=customXml/itemProps3.xml><?xml version="1.0" encoding="utf-8"?>
<ds:datastoreItem xmlns:ds="http://schemas.openxmlformats.org/officeDocument/2006/customXml" ds:itemID="{fb683747-79c4-4226-8039-b04e92f99411}">
  <ds:schemaRefs/>
</ds:datastoreItem>
</file>

<file path=customXml/itemProps30.xml><?xml version="1.0" encoding="utf-8"?>
<ds:datastoreItem xmlns:ds="http://schemas.openxmlformats.org/officeDocument/2006/customXml" ds:itemID="{00699f86-fce3-4b94-aad4-134fc74f82ea}">
  <ds:schemaRefs/>
</ds:datastoreItem>
</file>

<file path=customXml/itemProps31.xml><?xml version="1.0" encoding="utf-8"?>
<ds:datastoreItem xmlns:ds="http://schemas.openxmlformats.org/officeDocument/2006/customXml" ds:itemID="{46cc40ae-7433-4be6-8c16-dcd3802f8aa6}">
  <ds:schemaRefs/>
</ds:datastoreItem>
</file>

<file path=customXml/itemProps32.xml><?xml version="1.0" encoding="utf-8"?>
<ds:datastoreItem xmlns:ds="http://schemas.openxmlformats.org/officeDocument/2006/customXml" ds:itemID="{df67df86-a41d-4b62-8604-f52554b71d3a}">
  <ds:schemaRefs/>
</ds:datastoreItem>
</file>

<file path=customXml/itemProps33.xml><?xml version="1.0" encoding="utf-8"?>
<ds:datastoreItem xmlns:ds="http://schemas.openxmlformats.org/officeDocument/2006/customXml" ds:itemID="{c6165698-2065-46be-a547-15583eacc97f}">
  <ds:schemaRefs/>
</ds:datastoreItem>
</file>

<file path=customXml/itemProps34.xml><?xml version="1.0" encoding="utf-8"?>
<ds:datastoreItem xmlns:ds="http://schemas.openxmlformats.org/officeDocument/2006/customXml" ds:itemID="{0dce9e2b-9b00-475e-8ee6-ecba6b35b048}">
  <ds:schemaRefs/>
</ds:datastoreItem>
</file>

<file path=customXml/itemProps35.xml><?xml version="1.0" encoding="utf-8"?>
<ds:datastoreItem xmlns:ds="http://schemas.openxmlformats.org/officeDocument/2006/customXml" ds:itemID="{4b02b3bb-7765-4f3d-8051-4782c7fbf24b}">
  <ds:schemaRefs/>
</ds:datastoreItem>
</file>

<file path=customXml/itemProps36.xml><?xml version="1.0" encoding="utf-8"?>
<ds:datastoreItem xmlns:ds="http://schemas.openxmlformats.org/officeDocument/2006/customXml" ds:itemID="{91f003ba-78d9-461b-b34a-1a68a8529665}">
  <ds:schemaRefs/>
</ds:datastoreItem>
</file>

<file path=customXml/itemProps37.xml><?xml version="1.0" encoding="utf-8"?>
<ds:datastoreItem xmlns:ds="http://schemas.openxmlformats.org/officeDocument/2006/customXml" ds:itemID="{ee4b15c7-80c7-421c-8da7-d20b95756965}">
  <ds:schemaRefs/>
</ds:datastoreItem>
</file>

<file path=customXml/itemProps38.xml><?xml version="1.0" encoding="utf-8"?>
<ds:datastoreItem xmlns:ds="http://schemas.openxmlformats.org/officeDocument/2006/customXml" ds:itemID="{60a1316f-95d7-4963-9f6b-f48aa68b8762}">
  <ds:schemaRefs/>
</ds:datastoreItem>
</file>

<file path=customXml/itemProps39.xml><?xml version="1.0" encoding="utf-8"?>
<ds:datastoreItem xmlns:ds="http://schemas.openxmlformats.org/officeDocument/2006/customXml" ds:itemID="{1cba957d-3804-4432-8d7b-f04b94e4875b}">
  <ds:schemaRefs/>
</ds:datastoreItem>
</file>

<file path=customXml/itemProps4.xml><?xml version="1.0" encoding="utf-8"?>
<ds:datastoreItem xmlns:ds="http://schemas.openxmlformats.org/officeDocument/2006/customXml" ds:itemID="{5505cd3b-3bf6-4797-8655-ef90c558e42f}">
  <ds:schemaRefs/>
</ds:datastoreItem>
</file>

<file path=customXml/itemProps40.xml><?xml version="1.0" encoding="utf-8"?>
<ds:datastoreItem xmlns:ds="http://schemas.openxmlformats.org/officeDocument/2006/customXml" ds:itemID="{08122d9d-7d75-4cb4-841b-02376629788e}">
  <ds:schemaRefs/>
</ds:datastoreItem>
</file>

<file path=customXml/itemProps41.xml><?xml version="1.0" encoding="utf-8"?>
<ds:datastoreItem xmlns:ds="http://schemas.openxmlformats.org/officeDocument/2006/customXml" ds:itemID="{2d16a30d-ff1c-45cc-aed5-da3677cc2800}">
  <ds:schemaRefs/>
</ds:datastoreItem>
</file>

<file path=customXml/itemProps42.xml><?xml version="1.0" encoding="utf-8"?>
<ds:datastoreItem xmlns:ds="http://schemas.openxmlformats.org/officeDocument/2006/customXml" ds:itemID="{124e30c2-d01d-4517-98c4-1cc3ea2585af}">
  <ds:schemaRefs/>
</ds:datastoreItem>
</file>

<file path=customXml/itemProps43.xml><?xml version="1.0" encoding="utf-8"?>
<ds:datastoreItem xmlns:ds="http://schemas.openxmlformats.org/officeDocument/2006/customXml" ds:itemID="{382d4e5b-f795-42e9-b3ca-5b9f40911c96}">
  <ds:schemaRefs/>
</ds:datastoreItem>
</file>

<file path=customXml/itemProps44.xml><?xml version="1.0" encoding="utf-8"?>
<ds:datastoreItem xmlns:ds="http://schemas.openxmlformats.org/officeDocument/2006/customXml" ds:itemID="{11879557-bee8-4c03-b77f-dc87b2261f45}">
  <ds:schemaRefs/>
</ds:datastoreItem>
</file>

<file path=customXml/itemProps45.xml><?xml version="1.0" encoding="utf-8"?>
<ds:datastoreItem xmlns:ds="http://schemas.openxmlformats.org/officeDocument/2006/customXml" ds:itemID="{47e1071e-a375-42c6-adec-85c234fd1f42}">
  <ds:schemaRefs/>
</ds:datastoreItem>
</file>

<file path=customXml/itemProps46.xml><?xml version="1.0" encoding="utf-8"?>
<ds:datastoreItem xmlns:ds="http://schemas.openxmlformats.org/officeDocument/2006/customXml" ds:itemID="{12e2ea3b-d559-45e0-a085-5ac333f09705}">
  <ds:schemaRefs/>
</ds:datastoreItem>
</file>

<file path=customXml/itemProps47.xml><?xml version="1.0" encoding="utf-8"?>
<ds:datastoreItem xmlns:ds="http://schemas.openxmlformats.org/officeDocument/2006/customXml" ds:itemID="{3f6b92ce-73a8-4c65-a66c-db78eb3735c2}">
  <ds:schemaRefs/>
</ds:datastoreItem>
</file>

<file path=customXml/itemProps48.xml><?xml version="1.0" encoding="utf-8"?>
<ds:datastoreItem xmlns:ds="http://schemas.openxmlformats.org/officeDocument/2006/customXml" ds:itemID="{628e8c97-8b52-436b-8d3b-bc6fa8e000e9}">
  <ds:schemaRefs/>
</ds:datastoreItem>
</file>

<file path=customXml/itemProps49.xml><?xml version="1.0" encoding="utf-8"?>
<ds:datastoreItem xmlns:ds="http://schemas.openxmlformats.org/officeDocument/2006/customXml" ds:itemID="{dd20729f-e82a-401a-a459-a459c177bbfd}">
  <ds:schemaRefs/>
</ds:datastoreItem>
</file>

<file path=customXml/itemProps5.xml><?xml version="1.0" encoding="utf-8"?>
<ds:datastoreItem xmlns:ds="http://schemas.openxmlformats.org/officeDocument/2006/customXml" ds:itemID="{fbfdf960-c5e8-4dd6-9880-88518b5e3756}">
  <ds:schemaRefs/>
</ds:datastoreItem>
</file>

<file path=customXml/itemProps50.xml><?xml version="1.0" encoding="utf-8"?>
<ds:datastoreItem xmlns:ds="http://schemas.openxmlformats.org/officeDocument/2006/customXml" ds:itemID="{ae7c50c9-e8b9-49f9-939f-6a2208acbbee}">
  <ds:schemaRefs/>
</ds:datastoreItem>
</file>

<file path=customXml/itemProps51.xml><?xml version="1.0" encoding="utf-8"?>
<ds:datastoreItem xmlns:ds="http://schemas.openxmlformats.org/officeDocument/2006/customXml" ds:itemID="{9eccbe37-7eb7-4a3c-8e92-1b64af523bc2}">
  <ds:schemaRefs/>
</ds:datastoreItem>
</file>

<file path=customXml/itemProps52.xml><?xml version="1.0" encoding="utf-8"?>
<ds:datastoreItem xmlns:ds="http://schemas.openxmlformats.org/officeDocument/2006/customXml" ds:itemID="{db1adb3b-7e77-4707-827c-5e7e1fa91fd5}">
  <ds:schemaRefs/>
</ds:datastoreItem>
</file>

<file path=customXml/itemProps53.xml><?xml version="1.0" encoding="utf-8"?>
<ds:datastoreItem xmlns:ds="http://schemas.openxmlformats.org/officeDocument/2006/customXml" ds:itemID="{a7556d55-11de-41a4-8375-ea8a510d123d}">
  <ds:schemaRefs/>
</ds:datastoreItem>
</file>

<file path=customXml/itemProps54.xml><?xml version="1.0" encoding="utf-8"?>
<ds:datastoreItem xmlns:ds="http://schemas.openxmlformats.org/officeDocument/2006/customXml" ds:itemID="{b2fc7aa0-0c58-4e76-8575-4f549b882090}">
  <ds:schemaRefs/>
</ds:datastoreItem>
</file>

<file path=customXml/itemProps55.xml><?xml version="1.0" encoding="utf-8"?>
<ds:datastoreItem xmlns:ds="http://schemas.openxmlformats.org/officeDocument/2006/customXml" ds:itemID="{6507ec04-d307-42ef-a486-ef5424b26018}">
  <ds:schemaRefs/>
</ds:datastoreItem>
</file>

<file path=customXml/itemProps56.xml><?xml version="1.0" encoding="utf-8"?>
<ds:datastoreItem xmlns:ds="http://schemas.openxmlformats.org/officeDocument/2006/customXml" ds:itemID="{81ce5f30-6228-4d2b-a351-fc65a266bdeb}">
  <ds:schemaRefs/>
</ds:datastoreItem>
</file>

<file path=customXml/itemProps57.xml><?xml version="1.0" encoding="utf-8"?>
<ds:datastoreItem xmlns:ds="http://schemas.openxmlformats.org/officeDocument/2006/customXml" ds:itemID="{c315e0f5-b6ad-4925-9633-48732d9a3442}">
  <ds:schemaRefs/>
</ds:datastoreItem>
</file>

<file path=customXml/itemProps58.xml><?xml version="1.0" encoding="utf-8"?>
<ds:datastoreItem xmlns:ds="http://schemas.openxmlformats.org/officeDocument/2006/customXml" ds:itemID="{1dd8cb72-e34a-4799-b7be-5e1abfa5a605}">
  <ds:schemaRefs/>
</ds:datastoreItem>
</file>

<file path=customXml/itemProps59.xml><?xml version="1.0" encoding="utf-8"?>
<ds:datastoreItem xmlns:ds="http://schemas.openxmlformats.org/officeDocument/2006/customXml" ds:itemID="{80a7448e-2953-4831-8614-920fc02af45d}">
  <ds:schemaRefs/>
</ds:datastoreItem>
</file>

<file path=customXml/itemProps6.xml><?xml version="1.0" encoding="utf-8"?>
<ds:datastoreItem xmlns:ds="http://schemas.openxmlformats.org/officeDocument/2006/customXml" ds:itemID="{0aab3ba1-4045-4405-9701-377b83aabda9}">
  <ds:schemaRefs/>
</ds:datastoreItem>
</file>

<file path=customXml/itemProps7.xml><?xml version="1.0" encoding="utf-8"?>
<ds:datastoreItem xmlns:ds="http://schemas.openxmlformats.org/officeDocument/2006/customXml" ds:itemID="{d8901f12-5842-4dd3-bc94-3d7e4d2e6c3f}">
  <ds:schemaRefs/>
</ds:datastoreItem>
</file>

<file path=customXml/itemProps8.xml><?xml version="1.0" encoding="utf-8"?>
<ds:datastoreItem xmlns:ds="http://schemas.openxmlformats.org/officeDocument/2006/customXml" ds:itemID="{72266c1a-390e-459b-9909-1cebe5526937}">
  <ds:schemaRefs/>
</ds:datastoreItem>
</file>

<file path=customXml/itemProps9.xml><?xml version="1.0" encoding="utf-8"?>
<ds:datastoreItem xmlns:ds="http://schemas.openxmlformats.org/officeDocument/2006/customXml" ds:itemID="{e5bff5dc-0f8d-4747-9ad3-2a7e0ea859b1}">
  <ds:schemaRefs/>
</ds:datastoreItem>
</file>

<file path=docProps/app.xml><?xml version="1.0" encoding="utf-8"?>
<Properties xmlns="http://schemas.openxmlformats.org/officeDocument/2006/extended-properties" xmlns:vt="http://schemas.openxmlformats.org/officeDocument/2006/docPropsVTypes">
  <TotalTime>35</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2022-03-04T10:13:00Z</dcterms:created>
  <dc:creator>Administrator</dc:creator>
  <cp:lastModifiedBy>Administrator</cp:lastModifiedBy>
  <cp:lastPrinted>2022-03-04T07:27:00Z</cp:lastPrinted>
  <dcterms:modified xsi:type="dcterms:W3CDTF">2023-08-15T00:43:49Z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